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37EFEB">
      <w:pPr>
        <w:autoSpaceDE w:val="0"/>
        <w:autoSpaceDN w:val="0"/>
        <w:adjustRightInd w:val="0"/>
        <w:spacing w:after="0" w:line="240" w:lineRule="auto"/>
        <w:jc w:val="center"/>
        <w:rPr>
          <w:rFonts w:hint="default" w:ascii="Times New Roman" w:hAnsi="Times New Roman" w:cs="Times New Roman"/>
          <w:b/>
          <w:bCs/>
          <w:sz w:val="40"/>
          <w:szCs w:val="40"/>
          <w:lang w:val="en-US"/>
        </w:rPr>
      </w:pPr>
      <w:r>
        <w:rPr>
          <w:rFonts w:ascii="Times New Roman" w:hAnsi="Times New Roman" w:cs="Times New Roman"/>
          <w:b/>
          <w:sz w:val="40"/>
          <w:szCs w:val="40"/>
          <w:lang w:val="en-US"/>
        </w:rPr>
        <w:t xml:space="preserve">O’ZBEKISTON RESPUBLIKASI </w:t>
      </w:r>
      <w:r>
        <w:rPr>
          <w:rFonts w:hint="default" w:ascii="Times New Roman" w:hAnsi="Times New Roman" w:eastAsia="Arial" w:cs="Times New Roman"/>
          <w:b/>
          <w:bCs/>
          <w:i w:val="0"/>
          <w:iCs w:val="0"/>
          <w:color w:val="000000"/>
          <w:spacing w:val="0"/>
          <w:sz w:val="40"/>
          <w:szCs w:val="40"/>
          <w:shd w:val="clear" w:fill="FFFFFF"/>
        </w:rPr>
        <w:t>OLIY TA’LIM, FAN VA INNOVATSIYALAR VAZIRLIGI</w:t>
      </w:r>
    </w:p>
    <w:p w14:paraId="36D2F235">
      <w:pPr>
        <w:autoSpaceDE w:val="0"/>
        <w:autoSpaceDN w:val="0"/>
        <w:adjustRightInd w:val="0"/>
        <w:spacing w:after="0" w:line="240" w:lineRule="auto"/>
        <w:jc w:val="center"/>
        <w:rPr>
          <w:rFonts w:ascii="Times New Roman" w:hAnsi="Times New Roman" w:cs="Times New Roman"/>
          <w:b/>
          <w:sz w:val="40"/>
          <w:szCs w:val="40"/>
          <w:lang w:val="uz-Cyrl-UZ"/>
        </w:rPr>
      </w:pPr>
    </w:p>
    <w:p w14:paraId="5E429A41">
      <w:pPr>
        <w:autoSpaceDE w:val="0"/>
        <w:autoSpaceDN w:val="0"/>
        <w:adjustRightInd w:val="0"/>
        <w:spacing w:after="0" w:line="240" w:lineRule="auto"/>
        <w:jc w:val="center"/>
        <w:rPr>
          <w:rFonts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DAVLAT UNIVERSITETI</w:t>
      </w:r>
    </w:p>
    <w:p w14:paraId="3F2A8B69">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1D41D6BE">
      <w:pPr>
        <w:autoSpaceDE w:val="0"/>
        <w:autoSpaceDN w:val="0"/>
        <w:adjustRightInd w:val="0"/>
        <w:spacing w:after="0" w:line="240" w:lineRule="auto"/>
        <w:ind w:firstLine="709"/>
        <w:jc w:val="both"/>
        <w:rPr>
          <w:rFonts w:ascii="Times New Roman" w:hAnsi="Times New Roman" w:cs="Times New Roman"/>
          <w:sz w:val="40"/>
          <w:szCs w:val="40"/>
          <w:lang w:val="uz-Cyrl-UZ"/>
        </w:rPr>
      </w:pPr>
      <w:bookmarkStart w:id="0" w:name="_GoBack"/>
      <w:bookmarkEnd w:id="0"/>
    </w:p>
    <w:p w14:paraId="79CDADA0">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02F705E4">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602ACC5">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076F32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16B647B">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7EC4EC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D06A33C">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INVESTIT</w:t>
      </w:r>
      <w:r>
        <w:rPr>
          <w:rFonts w:hint="default" w:ascii="Times New Roman" w:hAnsi="Times New Roman" w:cs="Times New Roman"/>
          <w:b/>
          <w:sz w:val="56"/>
          <w:szCs w:val="56"/>
          <w:lang w:val="en-US"/>
        </w:rPr>
        <w:t>S</w:t>
      </w:r>
      <w:r>
        <w:rPr>
          <w:rFonts w:ascii="Times New Roman" w:hAnsi="Times New Roman" w:cs="Times New Roman"/>
          <w:b/>
          <w:sz w:val="56"/>
          <w:szCs w:val="56"/>
          <w:lang w:val="uz-Cyrl-UZ"/>
        </w:rPr>
        <w:t>ION LOYIHALAR TAHLILI</w:t>
      </w:r>
    </w:p>
    <w:p w14:paraId="0A588465">
      <w:pPr>
        <w:autoSpaceDE w:val="0"/>
        <w:autoSpaceDN w:val="0"/>
        <w:adjustRightInd w:val="0"/>
        <w:spacing w:after="0" w:line="240" w:lineRule="auto"/>
        <w:jc w:val="center"/>
        <w:rPr>
          <w:rFonts w:ascii="Times New Roman" w:hAnsi="Times New Roman" w:cs="Times New Roman"/>
          <w:b/>
          <w:sz w:val="56"/>
          <w:szCs w:val="56"/>
          <w:lang w:val="uz-Cyrl-UZ"/>
        </w:rPr>
      </w:pPr>
    </w:p>
    <w:p w14:paraId="7036FB12">
      <w:pPr>
        <w:autoSpaceDE w:val="0"/>
        <w:autoSpaceDN w:val="0"/>
        <w:adjustRightInd w:val="0"/>
        <w:spacing w:after="0" w:line="240" w:lineRule="auto"/>
        <w:jc w:val="center"/>
        <w:rPr>
          <w:rFonts w:ascii="Times New Roman" w:hAnsi="Times New Roman" w:cs="Times New Roman"/>
          <w:b/>
          <w:sz w:val="56"/>
          <w:szCs w:val="56"/>
          <w:lang w:val="uz-Cyrl-UZ"/>
        </w:rPr>
      </w:pPr>
      <w:r>
        <w:rPr>
          <w:rFonts w:ascii="Times New Roman" w:hAnsi="Times New Roman" w:cs="Times New Roman"/>
          <w:b/>
          <w:sz w:val="56"/>
          <w:szCs w:val="56"/>
          <w:lang w:val="uz-Cyrl-UZ"/>
        </w:rPr>
        <w:t>O’QUV USLUBIY MAJMUA</w:t>
      </w:r>
    </w:p>
    <w:p w14:paraId="12C14159">
      <w:pPr>
        <w:autoSpaceDE w:val="0"/>
        <w:autoSpaceDN w:val="0"/>
        <w:adjustRightInd w:val="0"/>
        <w:spacing w:after="0" w:line="240" w:lineRule="auto"/>
        <w:ind w:firstLine="709"/>
        <w:jc w:val="both"/>
        <w:rPr>
          <w:rFonts w:ascii="Times New Roman" w:hAnsi="Times New Roman" w:cs="Times New Roman"/>
          <w:sz w:val="56"/>
          <w:szCs w:val="56"/>
          <w:lang w:val="uz-Cyrl-UZ"/>
        </w:rPr>
      </w:pPr>
    </w:p>
    <w:p w14:paraId="286ACD9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8B671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6231D92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0AB61BF">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759512D">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3931128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55DD44C">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43E2E712">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E48FADA">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79D3560E">
      <w:pPr>
        <w:autoSpaceDE w:val="0"/>
        <w:autoSpaceDN w:val="0"/>
        <w:adjustRightInd w:val="0"/>
        <w:spacing w:after="0" w:line="240" w:lineRule="auto"/>
        <w:ind w:firstLine="709"/>
        <w:jc w:val="both"/>
        <w:rPr>
          <w:rFonts w:ascii="Times New Roman" w:hAnsi="Times New Roman" w:cs="Times New Roman"/>
          <w:sz w:val="40"/>
          <w:szCs w:val="40"/>
          <w:lang w:val="uz-Cyrl-UZ"/>
        </w:rPr>
      </w:pPr>
    </w:p>
    <w:p w14:paraId="5A983752">
      <w:pPr>
        <w:autoSpaceDE w:val="0"/>
        <w:autoSpaceDN w:val="0"/>
        <w:adjustRightInd w:val="0"/>
        <w:spacing w:after="0" w:line="240" w:lineRule="auto"/>
        <w:jc w:val="center"/>
        <w:rPr>
          <w:rFonts w:hint="default" w:ascii="Times New Roman" w:hAnsi="Times New Roman" w:cs="Times New Roman"/>
          <w:b/>
          <w:sz w:val="40"/>
          <w:szCs w:val="40"/>
          <w:lang w:val="en-US"/>
        </w:rPr>
      </w:pPr>
      <w:r>
        <w:rPr>
          <w:rFonts w:ascii="Times New Roman" w:hAnsi="Times New Roman" w:cs="Times New Roman"/>
          <w:b/>
          <w:sz w:val="40"/>
          <w:szCs w:val="40"/>
          <w:lang w:val="uz-Cyrl-UZ"/>
        </w:rPr>
        <w:t>GULISTON</w:t>
      </w:r>
      <w:r>
        <w:rPr>
          <w:rFonts w:ascii="Times New Roman" w:hAnsi="Times New Roman" w:cs="Times New Roman"/>
          <w:b/>
          <w:sz w:val="40"/>
          <w:szCs w:val="40"/>
          <w:lang w:val="en-US"/>
        </w:rPr>
        <w:t xml:space="preserve"> – 20</w:t>
      </w:r>
      <w:r>
        <w:rPr>
          <w:rFonts w:hint="default" w:ascii="Times New Roman" w:hAnsi="Times New Roman" w:cs="Times New Roman"/>
          <w:b/>
          <w:sz w:val="40"/>
          <w:szCs w:val="40"/>
          <w:lang w:val="en-US"/>
        </w:rPr>
        <w:t>24</w:t>
      </w:r>
    </w:p>
    <w:p w14:paraId="39A9EBCD">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42CFCBB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E100017">
      <w:pPr>
        <w:autoSpaceDE w:val="0"/>
        <w:autoSpaceDN w:val="0"/>
        <w:adjustRightInd w:val="0"/>
        <w:spacing w:after="0" w:line="240" w:lineRule="auto"/>
        <w:ind w:firstLine="709"/>
        <w:jc w:val="both"/>
        <w:rPr>
          <w:rFonts w:hint="default" w:ascii="Times New Roman" w:hAnsi="Times New Roman" w:cs="Times New Roman"/>
          <w:sz w:val="28"/>
          <w:szCs w:val="28"/>
          <w:lang w:val="en-US"/>
        </w:rPr>
      </w:pPr>
      <w:r>
        <w:rPr>
          <w:rFonts w:ascii="Times New Roman" w:hAnsi="Times New Roman" w:cs="Times New Roman"/>
          <w:sz w:val="28"/>
          <w:szCs w:val="28"/>
          <w:lang w:val="uz-Cyrl-UZ"/>
        </w:rPr>
        <w:t xml:space="preserve">Tuzuvchi: </w:t>
      </w:r>
      <w:r>
        <w:rPr>
          <w:rFonts w:hint="default" w:ascii="Times New Roman" w:hAnsi="Times New Roman" w:cs="Times New Roman"/>
          <w:sz w:val="28"/>
          <w:szCs w:val="28"/>
          <w:lang w:val="en-US"/>
        </w:rPr>
        <w:t>G.K.Turayeva</w:t>
      </w:r>
    </w:p>
    <w:p w14:paraId="3C6BA31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269DF6D">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 tahlili (O’quv uslubiy majmua). -Guliston., GDU, 20</w:t>
      </w:r>
      <w:r>
        <w:rPr>
          <w:rFonts w:hint="default" w:ascii="Times New Roman" w:hAnsi="Times New Roman" w:cs="Times New Roman"/>
          <w:sz w:val="28"/>
          <w:szCs w:val="28"/>
          <w:lang w:val="en-US"/>
        </w:rPr>
        <w:t>24</w:t>
      </w:r>
      <w:r>
        <w:rPr>
          <w:rFonts w:ascii="Times New Roman" w:hAnsi="Times New Roman" w:cs="Times New Roman"/>
          <w:sz w:val="28"/>
          <w:szCs w:val="28"/>
          <w:lang w:val="uz-Cyrl-UZ"/>
        </w:rPr>
        <w:t>.</w:t>
      </w:r>
    </w:p>
    <w:p w14:paraId="2185160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6AF923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Taqrizchilar:</w:t>
      </w:r>
    </w:p>
    <w:p w14:paraId="7970DA0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Sattorqulov Obidqul Turdiqulovich – GulDU, Iqtisodiyot kafedrasi mudiri, i.f.n., dotsent</w:t>
      </w:r>
    </w:p>
    <w:p w14:paraId="57D2D0F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2. Burhonov Alisher Xodjimuratovich - Iqtisodiyot kafedrasi dotsenti, iqtisod fanlari nomzodi</w:t>
      </w:r>
    </w:p>
    <w:p w14:paraId="0612B041">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5F839F1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D9E3DC3">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0EDB4E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Ushbu o’quv majmuada loyihalarning mohiyati va ularni tayyorlash, loyiha tahlili kontseptsiyasi, loyihalarini moliyaviy-iqtisodiy baholashning uslubiy asoslari va usullari, loyihalarni tahlil qilishning turli jihatlari yoritilgan. Loyihalarni texnik, institutsional, ijtimoiy, ekologik, moliyaviy va iqtisodiy tahlil qilish masalalari alohida-alohida mavzularda berilgan; shuningdek loyihalarning tavakkal xavfini baholash mavzusi o’rin olgan. Iqtisodiy tahlilning uslubi investitsiya loyihalarining tahlili uslubidan va yondashuvidan tubdan farq qiladi. Iqtisodiy tahlil jarayonida loyiha mamlakat iqtisodiyoti uchun qanday naf berishi, mamlakat makroiqtisodiyotiga, uning monitar va fiskal siyosatiga aloqadorligi keng va chuqur tahlil qilinadi. Loyiha tahlilida asosiy e’tibor investitsiyalarni samaradorligiga qaratiladi va bu ko’proq investorlarni qarashini hamda davlat manfatlarini muvozanatini ifoda etadi. Shu bilan birga ushbu qo’llanmada ekologik, institutsional, ijtimoiy, makroiqtisodiy va moliyaviy iqtisodiy yondashuvlarga alohida e’tibor qaratilgan. Investitsiya loyihalarini tahlilida esa bunday ko’p qirrali yondashuv cheklangan va asosiy e’tibor investor va tijorat nuqtai nazaridan qaraladi. Shu sababli ushbu qo’llanma iqtisodiy - analitik xususiyatga ega.</w:t>
      </w:r>
    </w:p>
    <w:p w14:paraId="74B0F6F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Qo’llanma iqtisodiyot yo’nalishida ta’lim olinayotgan talabalarga mo’ljallangan. Undan loyihalarni tuzish va tahlil qilish bilan shug’ullanuvchilar ham foydalanishlari mumkin.</w:t>
      </w:r>
    </w:p>
    <w:p w14:paraId="421AD3FC">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210B521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6CF1AB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7060318B">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47D1ACB4">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57A4B23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3A8B37CF">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4F6086E">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C789497">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14FF761">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19B70EC">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5AB36062">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1323918A">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673594A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7BE7BC4C">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 xml:space="preserve">13 mavzu. </w:t>
      </w:r>
      <w:r>
        <w:rPr>
          <w:rFonts w:ascii="Times New Roman" w:hAnsi="Times New Roman" w:eastAsia="LiberationSerif-Bold" w:cs="Times New Roman"/>
          <w:b/>
          <w:bCs/>
          <w:sz w:val="28"/>
          <w:szCs w:val="28"/>
          <w:lang w:val="en-US"/>
        </w:rPr>
        <w:t xml:space="preserve">INVESTITSIYA </w:t>
      </w:r>
      <w:r>
        <w:rPr>
          <w:rFonts w:ascii="Times New Roman" w:hAnsi="Times New Roman" w:eastAsia="LiberationSerif-Bold" w:cs="Times New Roman"/>
          <w:b/>
          <w:bCs/>
          <w:sz w:val="28"/>
          <w:szCs w:val="28"/>
          <w:lang w:val="uz-Cyrl-UZ"/>
        </w:rPr>
        <w:t>LOYIHALARDA NOANIQLIK VA</w:t>
      </w:r>
    </w:p>
    <w:p w14:paraId="71CD517E">
      <w:pPr>
        <w:autoSpaceDE w:val="0"/>
        <w:autoSpaceDN w:val="0"/>
        <w:adjustRightInd w:val="0"/>
        <w:spacing w:after="0" w:line="240" w:lineRule="auto"/>
        <w:jc w:val="center"/>
        <w:rPr>
          <w:rFonts w:ascii="Times New Roman" w:hAnsi="Times New Roman" w:eastAsia="LiberationSerif-Bold" w:cs="Times New Roman"/>
          <w:b/>
          <w:bCs/>
          <w:sz w:val="28"/>
          <w:szCs w:val="28"/>
        </w:rPr>
      </w:pPr>
      <w:r>
        <w:rPr>
          <w:rFonts w:ascii="Times New Roman" w:hAnsi="Times New Roman" w:eastAsia="LiberationSerif-Bold" w:cs="Times New Roman"/>
          <w:b/>
          <w:bCs/>
          <w:sz w:val="28"/>
          <w:szCs w:val="28"/>
          <w:lang w:val="uz-Cyrl-UZ"/>
        </w:rPr>
        <w:t xml:space="preserve">QALTISLIKNI </w:t>
      </w:r>
      <w:r>
        <w:rPr>
          <w:rFonts w:ascii="Times New Roman" w:hAnsi="Times New Roman" w:eastAsia="LiberationSerif-Bold" w:cs="Times New Roman"/>
          <w:b/>
          <w:bCs/>
          <w:sz w:val="28"/>
          <w:szCs w:val="28"/>
        </w:rPr>
        <w:t>TAHLILI</w:t>
      </w:r>
    </w:p>
    <w:p w14:paraId="02643A0F">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030F3631">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13.1. Loyihalarda noaniqlik va qaltislik tushunchalari</w:t>
      </w:r>
    </w:p>
    <w:p w14:paraId="408D1549">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2FAFB50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Loyihalarda noaniqlik va qaltisliklarni aniqlash va ularni boshqarish ularni har bir bosqichida juda muhimdir.</w:t>
      </w:r>
    </w:p>
    <w:p w14:paraId="071C9D8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Biz xoxlamagan narsaning, voqeaning sodir bo’lish ehtimolini qaltislik deb ataymiz. Investitsiya loyihalari uchun qaltislik – bu loyihalarda ko’zda tutilgan maqsadlarga erishmaslik ehtimolidir. Buning natijasida investorlarning loyihani moliyalashtirishga bo’lgan qiziqishi pasayadi yoki loyiha umuman qiziqtirmay qolishi mumkin.</w:t>
      </w:r>
    </w:p>
    <w:p w14:paraId="31823041">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Aynan XIX asr oxirida insoniyat qaltisliklarni boshqarish muammolari bilan to’qnashdi. Shu davrda firmalar rivojlandi va ko’paydi, tabiiy zarar ko’rish qaltislikni ham oshib bordi.</w:t>
      </w:r>
    </w:p>
    <w:p w14:paraId="086984B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Eng birinchi qaltislikni boshqarish rejasi 1890 yilda AQShdagi temir yo’l qurilish bilan shug’llanuvchi firma tomonidan ishlab chiqildi.</w:t>
      </w:r>
    </w:p>
    <w:p w14:paraId="5569E812">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1920-1930 yillari Buyuk depressiyadan so’ng qaltislik boshqaruviga katta e’tibor qaratildi. II jahon urushidan so’ng dunyoda ilm-fan, texnika-texnologiya jadal rivojlandi va insoniyat uchun XX asrning 50-yillaridan boshlab qaltislik boshqaruvi muhim muammoga, masalaga aylandi. 70-yillarga kelib qaltislikni boshqaruv jarayonlari va professional qaltislik menejerlariga talab paydo bo’la boshladi.</w:t>
      </w:r>
    </w:p>
    <w:p w14:paraId="5D494FD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Hozirda esa qaltislikni hisobga olish loyihalarni baholashning ajralmas qismi hisoblanadi</w:t>
      </w:r>
    </w:p>
    <w:p w14:paraId="038F7EE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qaltislik deganda pul ko’rinishida ifodalanishi mumkin bo’lgan turli zararlarning yuzaga kelish ehtimolligi tushuniladi. Ular quyidagicha bo’lishi mumkin.</w:t>
      </w:r>
    </w:p>
    <w:p w14:paraId="565676C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Zarar ko’rish xavfi, ehtimolligi mavjud. Qaysidir mahsulotni ishlab chiqarish zarar keltirishi mumkin; Jahon moliyaviy-iqtisodiy inqirozi sharoitida hatto eng yirik xalqaro kompaniyalar ham ba’zi sohalarini yoki mahsulotlarini ishlab chiqarishni to’xtatib qo’ydi, uni o’rniga ekologik sof va tannarxi arzon mahsulotlar ishlab chiqarishga o’tdilar. Bunga yaqqol misol Frantsiyada Konkord rusumdagi tovushdan tez uchar samalyotlarni ishlab chiqarishni to’xtatilishidir.</w:t>
      </w:r>
    </w:p>
    <w:p w14:paraId="4439953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Noaniqlik, oldindan ko’ra bilish imkoniyati yo’qligi. Ya’ni bozorning o’rganilmaganligi yoki boshqa sabablar tufayli ma’lum bir loyiha uchun yakuniy moliyaviy natija qanday bo’lishini oldindan aytish qiyin bo’ladi.</w:t>
      </w:r>
    </w:p>
    <w:p w14:paraId="65D19604">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qaltislik bilan xohlagan sub’ekt to’qnashishi mumkin – alohida shaxs, guruh, firma, bank, sug’urta kompaniyalari va hokazo. Iqtisodiy qaltislik kimda bo’lishidan qat’iy nazar, hamma qaltislik bilan bog’liq xatarni, zararlarni kamaytirishga harakat qiladi. Shuning uchun qaltisliklarni boshqarish muammosi yuzaga keladi va «qaltislik -menejment» deb ataladi.</w:t>
      </w:r>
    </w:p>
    <w:p w14:paraId="17C144D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Iqtisodiy qaltislik bilan bog’liq ehtimoliy yo’qotishning kamayishini xoxlaydigan har bir firma o’zi uchun quyidagi bir qancha muammoli masalalarni hal qilishi kerak:</w:t>
      </w:r>
    </w:p>
    <w:p w14:paraId="47979C2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iqtisodiy qaltislik bilan bog’liq ehtimoliy zararlarni baholash;</w:t>
      </w:r>
    </w:p>
    <w:p w14:paraId="4934D95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qaltislikni to’liq o’zida qoldirish yoki boshqa sub’ektga berish, ma’lum qaltislikni o’zida qoldirish yoki boshqa sub’ektga berish kabi masalalarni hal qilish;</w:t>
      </w:r>
    </w:p>
    <w:p w14:paraId="0EA41B4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o’zida qoldirilgan qaltislik sababli yuzaga kelishi mumkin bo’lgan yo’qotishlarni kamaytirish dasturini ishlab chiqish. Bundan maqsad qaltislik mavjud bo’lgan sharoitda firmaning samarali ishlashini ta’minlashdir.</w:t>
      </w:r>
    </w:p>
    <w:p w14:paraId="4AF1464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Firmada ro’y berishi mumkin bo’lgan qaltisliklar turli xil, lekin asosan ularning ikki turi ko’riladi:</w:t>
      </w:r>
    </w:p>
    <w:p w14:paraId="0088B58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Moliyaviy qaltisliklar. Ularga quyidagilar kirishi mumkin:</w:t>
      </w:r>
    </w:p>
    <w:p w14:paraId="27A0F20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f</w:t>
      </w:r>
      <w:r>
        <w:rPr>
          <w:rFonts w:ascii="Times New Roman" w:hAnsi="Times New Roman" w:cs="Times New Roman"/>
          <w:sz w:val="28"/>
          <w:szCs w:val="28"/>
          <w:lang w:val="en-US"/>
        </w:rPr>
        <w:t>oiz stavkasi o’zgarishi;</w:t>
      </w:r>
    </w:p>
    <w:p w14:paraId="74656E1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k</w:t>
      </w:r>
      <w:r>
        <w:rPr>
          <w:rFonts w:ascii="Times New Roman" w:hAnsi="Times New Roman" w:cs="Times New Roman"/>
          <w:sz w:val="28"/>
          <w:szCs w:val="28"/>
          <w:lang w:val="en-US"/>
        </w:rPr>
        <w:t>redit qaytarilmasligi;</w:t>
      </w:r>
    </w:p>
    <w:p w14:paraId="2B21307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v</w:t>
      </w:r>
      <w:r>
        <w:rPr>
          <w:rFonts w:ascii="Times New Roman" w:hAnsi="Times New Roman" w:cs="Times New Roman"/>
          <w:sz w:val="28"/>
          <w:szCs w:val="28"/>
          <w:lang w:val="en-US"/>
        </w:rPr>
        <w:t>alyuta kursining noma’qul tebranishi;</w:t>
      </w:r>
    </w:p>
    <w:p w14:paraId="06AD569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x</w:t>
      </w:r>
      <w:r>
        <w:rPr>
          <w:rFonts w:ascii="Times New Roman" w:hAnsi="Times New Roman" w:cs="Times New Roman"/>
          <w:sz w:val="28"/>
          <w:szCs w:val="28"/>
          <w:lang w:val="en-US"/>
        </w:rPr>
        <w:t>aridorlarning to’lovga qobiliya</w:t>
      </w:r>
      <w:r>
        <w:rPr>
          <w:rFonts w:ascii="Times New Roman" w:hAnsi="Times New Roman" w:cs="Times New Roman"/>
          <w:sz w:val="28"/>
          <w:szCs w:val="28"/>
          <w:lang w:val="uz-Cyrl-UZ"/>
        </w:rPr>
        <w:t>ts</w:t>
      </w:r>
      <w:r>
        <w:rPr>
          <w:rFonts w:ascii="Times New Roman" w:hAnsi="Times New Roman" w:cs="Times New Roman"/>
          <w:sz w:val="28"/>
          <w:szCs w:val="28"/>
          <w:lang w:val="en-US"/>
        </w:rPr>
        <w:t>izligi;</w:t>
      </w:r>
    </w:p>
    <w:p w14:paraId="560954A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x</w:t>
      </w:r>
      <w:r>
        <w:rPr>
          <w:rFonts w:ascii="Times New Roman" w:hAnsi="Times New Roman" w:cs="Times New Roman"/>
          <w:sz w:val="28"/>
          <w:szCs w:val="28"/>
          <w:lang w:val="en-US"/>
        </w:rPr>
        <w:t>om-ashyo va materiallar narxining oshishi;</w:t>
      </w:r>
    </w:p>
    <w:p w14:paraId="7297942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x</w:t>
      </w:r>
      <w:r>
        <w:rPr>
          <w:rFonts w:ascii="Times New Roman" w:hAnsi="Times New Roman" w:cs="Times New Roman"/>
          <w:sz w:val="28"/>
          <w:szCs w:val="28"/>
          <w:lang w:val="en-US"/>
        </w:rPr>
        <w:t>aridorlar tomonidan majburiyatlarning bajarilmasligi va hokazolar.</w:t>
      </w:r>
    </w:p>
    <w:p w14:paraId="05AFF8F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Firma xo’jalik faoliyati bilan bog’liq qaltisliklar. Ularning paydo bo’lishiga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quyidagilar sabab bo’lishi mumkin:</w:t>
      </w:r>
    </w:p>
    <w:p w14:paraId="3904F67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jihozlarning </w:t>
      </w:r>
      <w:r>
        <w:rPr>
          <w:rFonts w:ascii="Times New Roman" w:hAnsi="Times New Roman" w:cs="Times New Roman"/>
          <w:sz w:val="28"/>
          <w:szCs w:val="28"/>
          <w:lang w:val="uz-Cyrl-UZ"/>
        </w:rPr>
        <w:t>e</w:t>
      </w:r>
      <w:r>
        <w:rPr>
          <w:rFonts w:ascii="Times New Roman" w:hAnsi="Times New Roman" w:cs="Times New Roman"/>
          <w:sz w:val="28"/>
          <w:szCs w:val="28"/>
          <w:lang w:val="en-US"/>
        </w:rPr>
        <w:t>skirganligi;</w:t>
      </w:r>
    </w:p>
    <w:p w14:paraId="06C49D6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xom-ashyo va materiallar sifatining o’zgarib turishi;</w:t>
      </w:r>
    </w:p>
    <w:p w14:paraId="78AC2A5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texnologiya etishmasligi;</w:t>
      </w:r>
    </w:p>
    <w:p w14:paraId="295F1E4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ishlab chiqarish kuchlari za</w:t>
      </w:r>
      <w:r>
        <w:rPr>
          <w:rFonts w:ascii="Times New Roman" w:hAnsi="Times New Roman" w:cs="Times New Roman"/>
          <w:sz w:val="28"/>
          <w:szCs w:val="28"/>
          <w:lang w:val="uz-Cyrl-UZ"/>
        </w:rPr>
        <w:t>h</w:t>
      </w:r>
      <w:r>
        <w:rPr>
          <w:rFonts w:ascii="Times New Roman" w:hAnsi="Times New Roman" w:cs="Times New Roman"/>
          <w:sz w:val="28"/>
          <w:szCs w:val="28"/>
          <w:lang w:val="en-US"/>
        </w:rPr>
        <w:t>irasining yo’qligi;</w:t>
      </w:r>
    </w:p>
    <w:p w14:paraId="4BCFB9B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turib qolishlar;</w:t>
      </w:r>
    </w:p>
    <w:p w14:paraId="5E6E3A8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favqulotda holatlar va hokazo.</w:t>
      </w:r>
    </w:p>
    <w:p w14:paraId="5CCE34CB">
      <w:pPr>
        <w:autoSpaceDE w:val="0"/>
        <w:autoSpaceDN w:val="0"/>
        <w:adjustRightInd w:val="0"/>
        <w:spacing w:after="0" w:line="240" w:lineRule="auto"/>
        <w:ind w:firstLine="709"/>
        <w:jc w:val="both"/>
        <w:rPr>
          <w:rFonts w:ascii="Times New Roman" w:hAnsi="Times New Roman" w:cs="Times New Roman"/>
          <w:sz w:val="28"/>
          <w:szCs w:val="28"/>
          <w:lang w:val="en-US"/>
        </w:rPr>
      </w:pPr>
    </w:p>
    <w:p w14:paraId="491301A0">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en-US"/>
        </w:rPr>
        <w:t>13.2.Qaltisliklarni boshqarish usullari</w:t>
      </w:r>
    </w:p>
    <w:p w14:paraId="0D335416">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A3010DF">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Qaltisliklarni boshqarishning ko’p qo’llaniladigan aniq usullari quyidagilar:</w:t>
      </w:r>
    </w:p>
    <w:p w14:paraId="6AE2A040">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Qaltislikdan qochish yoki inkor qilish (Risk avoidance). Kompaniyalar ishida qochish mumkin bo’lmagan katta qaltisliklar mavjud bo’ladi. Bunday qaltisliklarni biroz kamaytirish mumkin, ammo bu ularning ta’sir kuchini kamaytirmaydi. Shuning uchun ulardan qochishning eng yaxshi usuli ularni sodir bo’lishi ehtimolini umuman yo’q qilish kerak. Bunday usulni qo’llashga misol ma’lum mahsulotni ishlab chiqarishni to’xtatish, shu sohada biznesdan ketish va bunday qaltisliklar bo’lmagan boshqa sohalarni tanlash.</w:t>
      </w:r>
    </w:p>
    <w:p w14:paraId="4AB8EE5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Qaltisni o’ziga olish (Risk assumption). Uning mohiyati – zararlarni xususiy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moliyaviy imkoniyatlar asosida qoplashdir. Bu usul quyidagi holatlarda ma’qul:</w:t>
      </w:r>
    </w:p>
    <w:p w14:paraId="437C925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z</w:t>
      </w:r>
      <w:r>
        <w:rPr>
          <w:rFonts w:ascii="Times New Roman" w:hAnsi="Times New Roman" w:cs="Times New Roman"/>
          <w:sz w:val="28"/>
          <w:szCs w:val="28"/>
          <w:lang w:val="en-US"/>
        </w:rPr>
        <w:t>ararlar chastotasi katta bo’lmaganda;</w:t>
      </w:r>
    </w:p>
    <w:p w14:paraId="2A22FD1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p</w:t>
      </w:r>
      <w:r>
        <w:rPr>
          <w:rFonts w:ascii="Times New Roman" w:hAnsi="Times New Roman" w:cs="Times New Roman"/>
          <w:sz w:val="28"/>
          <w:szCs w:val="28"/>
          <w:lang w:val="en-US"/>
        </w:rPr>
        <w:t>otentsial zararlar hajmini firma joriy aktivlari hisobidan qoplash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mumkin bo’lganda. Bu usulda zararlar joriy pul tushumlari yoki shu maqsadlarda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maxsus tuzilgan zahira fondi hisobidan qoplanadi.</w:t>
      </w:r>
    </w:p>
    <w:p w14:paraId="2EEC678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Qaltislikni oldini olish (Loss prevention). Bu usulda ular yuzaga kelishi</w:t>
      </w:r>
      <w:r>
        <w:rPr>
          <w:rFonts w:ascii="Times New Roman" w:hAnsi="Times New Roman" w:cs="Times New Roman"/>
          <w:sz w:val="28"/>
          <w:szCs w:val="28"/>
          <w:lang w:val="uz-Cyrl-UZ"/>
        </w:rPr>
        <w:t xml:space="preserve"> e</w:t>
      </w:r>
      <w:r>
        <w:rPr>
          <w:rFonts w:ascii="Times New Roman" w:hAnsi="Times New Roman" w:cs="Times New Roman"/>
          <w:sz w:val="28"/>
          <w:szCs w:val="28"/>
          <w:lang w:val="en-US"/>
        </w:rPr>
        <w:t>htimolini kamaytirishga qaratilgan tadbirlar qilinadi. Quyidagi hollarda uni qo’llash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ma’quldir:</w:t>
      </w:r>
    </w:p>
    <w:p w14:paraId="3907E24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z</w:t>
      </w:r>
      <w:r>
        <w:rPr>
          <w:rFonts w:ascii="Times New Roman" w:hAnsi="Times New Roman" w:cs="Times New Roman"/>
          <w:sz w:val="28"/>
          <w:szCs w:val="28"/>
          <w:lang w:val="en-US"/>
        </w:rPr>
        <w:t xml:space="preserve">arar yuzaga kelishi </w:t>
      </w:r>
      <w:r>
        <w:rPr>
          <w:rFonts w:ascii="Times New Roman" w:hAnsi="Times New Roman" w:cs="Times New Roman"/>
          <w:sz w:val="28"/>
          <w:szCs w:val="28"/>
          <w:lang w:val="uz-Cyrl-UZ"/>
        </w:rPr>
        <w:t>e</w:t>
      </w:r>
      <w:r>
        <w:rPr>
          <w:rFonts w:ascii="Times New Roman" w:hAnsi="Times New Roman" w:cs="Times New Roman"/>
          <w:sz w:val="28"/>
          <w:szCs w:val="28"/>
          <w:lang w:val="en-US"/>
        </w:rPr>
        <w:t>htimoli yuqori;</w:t>
      </w:r>
    </w:p>
    <w:p w14:paraId="0837A19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z</w:t>
      </w:r>
      <w:r>
        <w:rPr>
          <w:rFonts w:ascii="Times New Roman" w:hAnsi="Times New Roman" w:cs="Times New Roman"/>
          <w:sz w:val="28"/>
          <w:szCs w:val="28"/>
          <w:lang w:val="en-US"/>
        </w:rPr>
        <w:t xml:space="preserve">arar miqdori katta </w:t>
      </w:r>
      <w:r>
        <w:rPr>
          <w:rFonts w:ascii="Times New Roman" w:hAnsi="Times New Roman" w:cs="Times New Roman"/>
          <w:sz w:val="28"/>
          <w:szCs w:val="28"/>
          <w:lang w:val="uz-Cyrl-UZ"/>
        </w:rPr>
        <w:t>e</w:t>
      </w:r>
      <w:r>
        <w:rPr>
          <w:rFonts w:ascii="Times New Roman" w:hAnsi="Times New Roman" w:cs="Times New Roman"/>
          <w:sz w:val="28"/>
          <w:szCs w:val="28"/>
          <w:lang w:val="en-US"/>
        </w:rPr>
        <w:t>mas.</w:t>
      </w:r>
    </w:p>
    <w:p w14:paraId="18189D2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Qaltis boshqarishda bu usulni qo’llash har xil oldini olish dasturlarini ishlab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chiqish va qo’llash bilan bog’liq. Bu dasturlar davriy bo’ladi va ular nazorat qilib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turilishi kerak. Misol sifatida, qorovullar (banklarda), haydovchilarni o’qitish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(xafvsizlik maqsadida),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kimyoviy zararlardan ogohlantirish, mehnat muhofazasi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hokazo.</w:t>
      </w:r>
    </w:p>
    <w:p w14:paraId="0421CEE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 Zararni kamaytirish (Loss reduction). Bu usulning mohiyati zararlarni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kamaytirishga qaratilgan. Bu usuldan quyidagi hollarda foydalanish mumkin:</w:t>
      </w:r>
    </w:p>
    <w:p w14:paraId="5875185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z</w:t>
      </w:r>
      <w:r>
        <w:rPr>
          <w:rFonts w:ascii="Times New Roman" w:hAnsi="Times New Roman" w:cs="Times New Roman"/>
          <w:sz w:val="28"/>
          <w:szCs w:val="28"/>
          <w:lang w:val="en-US"/>
        </w:rPr>
        <w:t xml:space="preserve">arar </w:t>
      </w:r>
      <w:r>
        <w:rPr>
          <w:rFonts w:ascii="Times New Roman" w:hAnsi="Times New Roman" w:cs="Times New Roman"/>
          <w:sz w:val="28"/>
          <w:szCs w:val="28"/>
          <w:lang w:val="uz-Cyrl-UZ"/>
        </w:rPr>
        <w:t>e</w:t>
      </w:r>
      <w:r>
        <w:rPr>
          <w:rFonts w:ascii="Times New Roman" w:hAnsi="Times New Roman" w:cs="Times New Roman"/>
          <w:sz w:val="28"/>
          <w:szCs w:val="28"/>
          <w:lang w:val="en-US"/>
        </w:rPr>
        <w:t>htimoli katta bo’lishi;</w:t>
      </w:r>
    </w:p>
    <w:p w14:paraId="4950C8F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q</w:t>
      </w:r>
      <w:r>
        <w:rPr>
          <w:rFonts w:ascii="Times New Roman" w:hAnsi="Times New Roman" w:cs="Times New Roman"/>
          <w:sz w:val="28"/>
          <w:szCs w:val="28"/>
          <w:lang w:val="en-US"/>
        </w:rPr>
        <w:t xml:space="preserve">altis, lekin zarar yuzaga kelish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htimoli katta </w:t>
      </w:r>
      <w:r>
        <w:rPr>
          <w:rFonts w:ascii="Times New Roman" w:hAnsi="Times New Roman" w:cs="Times New Roman"/>
          <w:sz w:val="28"/>
          <w:szCs w:val="28"/>
          <w:lang w:val="uz-Cyrl-UZ"/>
        </w:rPr>
        <w:t>e</w:t>
      </w:r>
      <w:r>
        <w:rPr>
          <w:rFonts w:ascii="Times New Roman" w:hAnsi="Times New Roman" w:cs="Times New Roman"/>
          <w:sz w:val="28"/>
          <w:szCs w:val="28"/>
          <w:lang w:val="en-US"/>
        </w:rPr>
        <w:t>mas.</w:t>
      </w:r>
    </w:p>
    <w:p w14:paraId="4F01EB7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Misol uchun qaltislikni bo’lishG’ajratish usuli. </w:t>
      </w:r>
      <w:r>
        <w:rPr>
          <w:rFonts w:ascii="Times New Roman" w:hAnsi="Times New Roman" w:cs="Times New Roman"/>
          <w:sz w:val="28"/>
          <w:szCs w:val="28"/>
          <w:lang w:val="uz-Cyrl-UZ"/>
        </w:rPr>
        <w:t>Yo</w:t>
      </w:r>
      <w:r>
        <w:rPr>
          <w:rFonts w:ascii="Times New Roman" w:hAnsi="Times New Roman" w:cs="Times New Roman"/>
          <w:sz w:val="28"/>
          <w:szCs w:val="28"/>
          <w:lang w:val="en-US"/>
        </w:rPr>
        <w:t xml:space="preserve">ng’in xavfidan zarar </w:t>
      </w:r>
      <w:r>
        <w:rPr>
          <w:rFonts w:ascii="Times New Roman" w:hAnsi="Times New Roman" w:cs="Times New Roman"/>
          <w:sz w:val="28"/>
          <w:szCs w:val="28"/>
          <w:lang w:val="uz-Cyrl-UZ"/>
        </w:rPr>
        <w:t>e</w:t>
      </w:r>
      <w:r>
        <w:rPr>
          <w:rFonts w:ascii="Times New Roman" w:hAnsi="Times New Roman" w:cs="Times New Roman"/>
          <w:sz w:val="28"/>
          <w:szCs w:val="28"/>
          <w:lang w:val="en-US"/>
        </w:rPr>
        <w:t>htimolini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hajmini kamaytirish maqsadida bitta katta omborning o’rniga ikkita kichik ombordan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foydalanish mumkin, agarda bunda xarajatlar kutilayotgan zararlardan kam bo’lsa bu</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usulni iqtisodiy tarafdan qo’llasa bo’ladi.</w:t>
      </w:r>
    </w:p>
    <w:p w14:paraId="68B7102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5. Sug’urtalash (Incurance). Bu usul qaltislik boshqaruvida </w:t>
      </w:r>
      <w:r>
        <w:rPr>
          <w:rFonts w:ascii="Times New Roman" w:hAnsi="Times New Roman" w:cs="Times New Roman"/>
          <w:sz w:val="28"/>
          <w:szCs w:val="28"/>
          <w:lang w:val="uz-Cyrl-UZ"/>
        </w:rPr>
        <w:t>e</w:t>
      </w:r>
      <w:r>
        <w:rPr>
          <w:rFonts w:ascii="Times New Roman" w:hAnsi="Times New Roman" w:cs="Times New Roman"/>
          <w:sz w:val="28"/>
          <w:szCs w:val="28"/>
          <w:lang w:val="en-US"/>
        </w:rPr>
        <w:t>ng ko’p</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qo’llaniladigan usullardan biridir. Uning mohiyati shundaki, firma ma’lum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qaltisliklarni sug’urta kompaniyasiga beradi va agar bular sodir bo’lganda sug’urta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firmasi ko’rilgan zararni qoplaydi. Quyidagi hollarda firma uchun bu usulni qo’llash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ma’quldir:</w:t>
      </w:r>
    </w:p>
    <w:p w14:paraId="2E13341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Agar qaltislik mavjud bo’lsa, zararni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htimoli yuqori </w:t>
      </w:r>
      <w:r>
        <w:rPr>
          <w:rFonts w:ascii="Times New Roman" w:hAnsi="Times New Roman" w:cs="Times New Roman"/>
          <w:sz w:val="28"/>
          <w:szCs w:val="28"/>
          <w:lang w:val="uz-Cyrl-UZ"/>
        </w:rPr>
        <w:t>e</w:t>
      </w:r>
      <w:r>
        <w:rPr>
          <w:rFonts w:ascii="Times New Roman" w:hAnsi="Times New Roman" w:cs="Times New Roman"/>
          <w:sz w:val="28"/>
          <w:szCs w:val="28"/>
          <w:lang w:val="en-US"/>
        </w:rPr>
        <w:t>mas, ammo zararni</w:t>
      </w:r>
      <w:r>
        <w:rPr>
          <w:rFonts w:ascii="Times New Roman" w:hAnsi="Times New Roman" w:cs="Times New Roman"/>
          <w:sz w:val="28"/>
          <w:szCs w:val="28"/>
          <w:lang w:val="uz-Cyrl-UZ"/>
        </w:rPr>
        <w:t xml:space="preserve"> e</w:t>
      </w:r>
      <w:r>
        <w:rPr>
          <w:rFonts w:ascii="Times New Roman" w:hAnsi="Times New Roman" w:cs="Times New Roman"/>
          <w:sz w:val="28"/>
          <w:szCs w:val="28"/>
          <w:lang w:val="en-US"/>
        </w:rPr>
        <w:t xml:space="preserve">htimoli yuqori darajada bo’lsa. </w:t>
      </w:r>
      <w:r>
        <w:rPr>
          <w:rFonts w:ascii="Times New Roman" w:hAnsi="Times New Roman" w:cs="Times New Roman"/>
          <w:sz w:val="28"/>
          <w:szCs w:val="28"/>
          <w:lang w:val="uz-Cyrl-UZ"/>
        </w:rPr>
        <w:t>Sh</w:t>
      </w:r>
      <w:r>
        <w:rPr>
          <w:rFonts w:ascii="Times New Roman" w:hAnsi="Times New Roman" w:cs="Times New Roman"/>
          <w:sz w:val="28"/>
          <w:szCs w:val="28"/>
          <w:lang w:val="en-US"/>
        </w:rPr>
        <w:t>uni nazarda tutish kerakki, firmada qaltisliklar bir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xil turda va ko’p bo’lsa, ularni sug’urta kompaniyasi orqali sug’urtalash yo’li bilan</w:t>
      </w:r>
      <w:r>
        <w:rPr>
          <w:rFonts w:ascii="Times New Roman" w:hAnsi="Times New Roman" w:cs="Times New Roman"/>
          <w:sz w:val="28"/>
          <w:szCs w:val="28"/>
          <w:lang w:val="uz-Cyrl-UZ"/>
        </w:rPr>
        <w:t xml:space="preserve"> e</w:t>
      </w:r>
      <w:r>
        <w:rPr>
          <w:rFonts w:ascii="Times New Roman" w:hAnsi="Times New Roman" w:cs="Times New Roman"/>
          <w:sz w:val="28"/>
          <w:szCs w:val="28"/>
          <w:lang w:val="en-US"/>
        </w:rPr>
        <w:t xml:space="preserve">mas, balki sug’urta badallarini firma ichida joriy </w:t>
      </w:r>
      <w:r>
        <w:rPr>
          <w:rFonts w:ascii="Times New Roman" w:hAnsi="Times New Roman" w:cs="Times New Roman"/>
          <w:sz w:val="28"/>
          <w:szCs w:val="28"/>
          <w:lang w:val="uz-Cyrl-UZ"/>
        </w:rPr>
        <w:t>e</w:t>
      </w:r>
      <w:r>
        <w:rPr>
          <w:rFonts w:ascii="Times New Roman" w:hAnsi="Times New Roman" w:cs="Times New Roman"/>
          <w:sz w:val="28"/>
          <w:szCs w:val="28"/>
          <w:lang w:val="en-US"/>
        </w:rPr>
        <w:t>tish orqali boshqarish mumkin.</w:t>
      </w:r>
    </w:p>
    <w:p w14:paraId="53FA2C0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Qaltislik mavjud, zarar bo’lishi </w:t>
      </w:r>
      <w:r>
        <w:rPr>
          <w:rFonts w:ascii="Times New Roman" w:hAnsi="Times New Roman" w:cs="Times New Roman"/>
          <w:sz w:val="28"/>
          <w:szCs w:val="28"/>
          <w:lang w:val="uz-Cyrl-UZ"/>
        </w:rPr>
        <w:t>e</w:t>
      </w:r>
      <w:r>
        <w:rPr>
          <w:rFonts w:ascii="Times New Roman" w:hAnsi="Times New Roman" w:cs="Times New Roman"/>
          <w:sz w:val="28"/>
          <w:szCs w:val="28"/>
          <w:lang w:val="en-US"/>
        </w:rPr>
        <w:t>htimoli yuqori, ammo zarar miqdori kam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bo’lsa.</w:t>
      </w:r>
    </w:p>
    <w:p w14:paraId="1082F94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Sug’urta asosan bax</w:t>
      </w:r>
      <w:r>
        <w:rPr>
          <w:rFonts w:ascii="Times New Roman" w:hAnsi="Times New Roman" w:cs="Times New Roman"/>
          <w:sz w:val="28"/>
          <w:szCs w:val="28"/>
          <w:lang w:val="uz-Cyrl-UZ"/>
        </w:rPr>
        <w:t>ts</w:t>
      </w:r>
      <w:r>
        <w:rPr>
          <w:rFonts w:ascii="Times New Roman" w:hAnsi="Times New Roman" w:cs="Times New Roman"/>
          <w:sz w:val="28"/>
          <w:szCs w:val="28"/>
          <w:lang w:val="en-US"/>
        </w:rPr>
        <w:t>iz hodisa yuz bergan hollarda juda zarurdir. Ko’p hollarda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sug’urta qaltislik boshqaruvida yagona usul hisoblanadi, ba’zida </w:t>
      </w:r>
      <w:r>
        <w:rPr>
          <w:rFonts w:ascii="Times New Roman" w:hAnsi="Times New Roman" w:cs="Times New Roman"/>
          <w:sz w:val="28"/>
          <w:szCs w:val="28"/>
          <w:lang w:val="uz-Cyrl-UZ"/>
        </w:rPr>
        <w:t>e</w:t>
      </w:r>
      <w:r>
        <w:rPr>
          <w:rFonts w:ascii="Times New Roman" w:hAnsi="Times New Roman" w:cs="Times New Roman"/>
          <w:sz w:val="28"/>
          <w:szCs w:val="28"/>
          <w:lang w:val="en-US"/>
        </w:rPr>
        <w:t>sa qonun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tomonidan majburiy qilib qo’yiladi (avtomobillarni sug’urtalash bunga misol).</w:t>
      </w:r>
    </w:p>
    <w:p w14:paraId="44D2289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 O’z-o’zini sug’urta qilish (Self-insurance) usuli ya’ni zararlarni qoplashga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qaratilgan shaxsiy sug’urta fondlarini tuzishga qaratilgan. U qaltislik boshqaruv</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usuli sifatida quyidagilarga sharoit yaratadi:</w:t>
      </w:r>
    </w:p>
    <w:p w14:paraId="34B0016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Zararni qoplash imkoniyatlarini oshirish;</w:t>
      </w:r>
    </w:p>
    <w:p w14:paraId="28E6160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Sug’urta fondlarini investitsiya qilish orqali firma foydaliligini oshirish.</w:t>
      </w:r>
    </w:p>
    <w:p w14:paraId="74DDF62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Keptiv sug’urta – bu nosug’urta tashkilotlari guruhiga kiruvchi sug’urta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tashkilotidir – sanoat, sanoat-moliyaviy, moliyaviy guruhlar va hamma guruh</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qaltislarini sug’urta qiladi.</w:t>
      </w:r>
    </w:p>
    <w:p w14:paraId="19E9038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7. Qaltislikni boshqaga o’tkazish (Risk transfer) usuli shuni anglatadiki firma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o’zidagi </w:t>
      </w:r>
      <w:r>
        <w:rPr>
          <w:rFonts w:ascii="Times New Roman" w:hAnsi="Times New Roman" w:cs="Times New Roman"/>
          <w:sz w:val="28"/>
          <w:szCs w:val="28"/>
          <w:lang w:val="uz-Cyrl-UZ"/>
        </w:rPr>
        <w:t>e</w:t>
      </w:r>
      <w:r>
        <w:rPr>
          <w:rFonts w:ascii="Times New Roman" w:hAnsi="Times New Roman" w:cs="Times New Roman"/>
          <w:sz w:val="28"/>
          <w:szCs w:val="28"/>
          <w:lang w:val="en-US"/>
        </w:rPr>
        <w:t>htimoliy qaltislik, zararni boshqa firmaga o’tkazadi. Buning bir turi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sug’urta, firma sug’urta badalini to’laydi va qaltislik sug’urta kompaniyasiga o’tadi.</w:t>
      </w:r>
      <w:r>
        <w:rPr>
          <w:rFonts w:ascii="Times New Roman" w:hAnsi="Times New Roman" w:cs="Times New Roman"/>
          <w:sz w:val="28"/>
          <w:szCs w:val="28"/>
          <w:lang w:val="uz-Cyrl-UZ"/>
        </w:rPr>
        <w:t xml:space="preserve"> </w:t>
      </w:r>
    </w:p>
    <w:p w14:paraId="182845E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Bundan tashqari qaltislikni o’tkazishning, ijara, hold-harmle</w:t>
      </w:r>
      <w:r>
        <w:rPr>
          <w:rFonts w:ascii="Times New Roman" w:hAnsi="Times New Roman" w:eastAsia="LiberationSerif-Bold" w:cs="Times New Roman"/>
          <w:bCs/>
          <w:sz w:val="28"/>
          <w:szCs w:val="28"/>
          <w:lang w:val="en-US"/>
        </w:rPr>
        <w:t>ss</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tipidagi kelishuvlari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kabi ko’rinishlari mavjud.</w:t>
      </w:r>
    </w:p>
    <w:p w14:paraId="7A5E856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Xedjirovanie</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(hedging) – sug’urta bilan bog’liq bo’lmagan narx bo’yicha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qaltisliklarni berish. Buning ma’nosi bozorda narxlarning o’zgarishi </w:t>
      </w:r>
      <w:r>
        <w:rPr>
          <w:rFonts w:ascii="Times New Roman" w:hAnsi="Times New Roman" w:cs="Times New Roman"/>
          <w:sz w:val="28"/>
          <w:szCs w:val="28"/>
          <w:lang w:val="uz-Cyrl-UZ"/>
        </w:rPr>
        <w:t>h</w:t>
      </w:r>
      <w:r>
        <w:rPr>
          <w:rFonts w:ascii="Times New Roman" w:hAnsi="Times New Roman" w:cs="Times New Roman"/>
          <w:sz w:val="28"/>
          <w:szCs w:val="28"/>
          <w:lang w:val="en-US"/>
        </w:rPr>
        <w:t>isobidan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keladigan foyda va zararlarni chegaralash hisoblanadi. Xedjirovanie savdo</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auktsionlari, fyuchers va forvard shartnomalari orqali joriy qilinadi va qaltislik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menejmentining ajralmas qismi bo’lib qoladi.</w:t>
      </w:r>
    </w:p>
    <w:p w14:paraId="46997E6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Ijara usuli mulkni ijaraga olgan kishi uchun uning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skirish qaltisini mulk </w:t>
      </w:r>
      <w:r>
        <w:rPr>
          <w:rFonts w:ascii="Times New Roman" w:hAnsi="Times New Roman" w:cs="Times New Roman"/>
          <w:sz w:val="28"/>
          <w:szCs w:val="28"/>
          <w:lang w:val="uz-Cyrl-UZ"/>
        </w:rPr>
        <w:t>e</w:t>
      </w:r>
      <w:r>
        <w:rPr>
          <w:rFonts w:ascii="Times New Roman" w:hAnsi="Times New Roman" w:cs="Times New Roman"/>
          <w:sz w:val="28"/>
          <w:szCs w:val="28"/>
          <w:lang w:val="en-US"/>
        </w:rPr>
        <w:t>gasiga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qoldirish imkonini yaratadi. Odatda bunday qaltislik uchun to’lov ijara haqi tarkibiga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kiritiladi.</w:t>
      </w:r>
    </w:p>
    <w:p w14:paraId="0466E0E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Hold-harmless tipidagi kelishuvlar (ushlovchi uchun zararsiz) zararlar bo’lishiga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tuziladi. Bunda bir tomonda zarar yuzaga kelganda, ikkinchi tomonning qaltisligini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o’ziga olishi bo’yicha kelishuv bo’ladi.</w:t>
      </w:r>
    </w:p>
    <w:p w14:paraId="064090B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Ya</w:t>
      </w:r>
      <w:r>
        <w:rPr>
          <w:rFonts w:ascii="Times New Roman" w:hAnsi="Times New Roman" w:cs="Times New Roman"/>
          <w:sz w:val="28"/>
          <w:szCs w:val="28"/>
          <w:lang w:val="en-US"/>
        </w:rPr>
        <w:t>na shuni ham aytish mumkinki, davlat tomonidan ham firmalar qaltisligini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kamaytiruvchi siyosatlar yuritiladi. Masalan, ma’lum sharoitlarda majburiy sug’urta,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iqtisodiy-ijtimoiy qaltislik juda yuqori faoliyatlar bilan shug’ullanishni cheklash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hokazo.</w:t>
      </w:r>
    </w:p>
    <w:p w14:paraId="1193A96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usullarni qaysi birini qo’llash yoki qo’llamaslikda iqtisodiy tamoyil shundaki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shu usulga xarajatlar undan keladigan qo’shimcha foydadan kam bo’lishi kerak.</w:t>
      </w:r>
    </w:p>
    <w:p w14:paraId="128E89BB">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30F4278D">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13.3. Qaltislik uchun mukofot</w:t>
      </w:r>
    </w:p>
    <w:p w14:paraId="5CE06AC9">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p>
    <w:p w14:paraId="4EA50230">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 qaltisligi qanchalik yuqori bo’lsa, uning daromadli bo’lish darajasiga talab ham shunchalik yuqori bo’ladi. Chunki katta qaltislikni olishga faqat katta foyda sabab bo’lishi mumkin. Shuning uchun qaltislik loyihalarni baholashda diskontlash darajasi oshiriladi, ya’ni haqiqiy foiz stavkasiga «qaltis uchun mukofot» ham qo’shiladi. NPV, IRR va boshqa ko’rsatkichlar yangi diskontlash darajasi bo’yicha hisoblanadi va solishtiriladi. Bu esa investitsiya loyihalarini baholashda qaltislikni ham hisobga olishga ko’maklashadi.</w:t>
      </w:r>
    </w:p>
    <w:p w14:paraId="3D37374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Misol. Quyida ikkita muqobil loyiha bo’yicha pul oqimlari keltirilgan bo’lib, har ikki loyiha uchun ham diskontlash darajasi 15% ga tengdir.</w:t>
      </w:r>
    </w:p>
    <w:p w14:paraId="66552D7C">
      <w:pPr>
        <w:autoSpaceDE w:val="0"/>
        <w:autoSpaceDN w:val="0"/>
        <w:adjustRightInd w:val="0"/>
        <w:spacing w:after="0" w:line="240" w:lineRule="auto"/>
        <w:ind w:firstLine="709"/>
        <w:jc w:val="both"/>
        <w:rPr>
          <w:rFonts w:ascii="Times New Roman" w:hAnsi="Times New Roman" w:cs="Times New Roman"/>
          <w:sz w:val="28"/>
          <w:szCs w:val="28"/>
          <w:lang w:val="uz-Cyrl-UZ"/>
        </w:rPr>
      </w:pP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590"/>
        <w:gridCol w:w="2366"/>
        <w:gridCol w:w="2366"/>
        <w:gridCol w:w="2249"/>
      </w:tblGrid>
      <w:tr w14:paraId="5F21BC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90" w:type="dxa"/>
            <w:vAlign w:val="center"/>
          </w:tcPr>
          <w:p w14:paraId="271508D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Ko’rsatkich</w:t>
            </w:r>
          </w:p>
        </w:tc>
        <w:tc>
          <w:tcPr>
            <w:tcW w:w="2366" w:type="dxa"/>
            <w:vAlign w:val="center"/>
          </w:tcPr>
          <w:p w14:paraId="67A5162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1-yil</w:t>
            </w:r>
          </w:p>
        </w:tc>
        <w:tc>
          <w:tcPr>
            <w:tcW w:w="2366" w:type="dxa"/>
            <w:vAlign w:val="center"/>
          </w:tcPr>
          <w:p w14:paraId="7E88652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2-yil</w:t>
            </w:r>
          </w:p>
        </w:tc>
        <w:tc>
          <w:tcPr>
            <w:tcW w:w="2249" w:type="dxa"/>
            <w:vAlign w:val="center"/>
          </w:tcPr>
          <w:p w14:paraId="22BAB9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3-yil</w:t>
            </w:r>
          </w:p>
        </w:tc>
      </w:tr>
      <w:tr w14:paraId="37680C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90" w:type="dxa"/>
            <w:vAlign w:val="center"/>
          </w:tcPr>
          <w:p w14:paraId="416D911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Loyiha A</w:t>
            </w:r>
          </w:p>
        </w:tc>
        <w:tc>
          <w:tcPr>
            <w:tcW w:w="2366" w:type="dxa"/>
            <w:vAlign w:val="center"/>
          </w:tcPr>
          <w:p w14:paraId="3A97024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-1900</w:t>
            </w:r>
          </w:p>
        </w:tc>
        <w:tc>
          <w:tcPr>
            <w:tcW w:w="2366" w:type="dxa"/>
            <w:vAlign w:val="center"/>
          </w:tcPr>
          <w:p w14:paraId="34E11BC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-1870</w:t>
            </w:r>
          </w:p>
        </w:tc>
        <w:tc>
          <w:tcPr>
            <w:tcW w:w="2249" w:type="dxa"/>
            <w:vAlign w:val="center"/>
          </w:tcPr>
          <w:p w14:paraId="46F6686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4840</w:t>
            </w:r>
          </w:p>
        </w:tc>
      </w:tr>
      <w:tr w14:paraId="0AE737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2590" w:type="dxa"/>
            <w:vAlign w:val="center"/>
          </w:tcPr>
          <w:p w14:paraId="56FB6D8C">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 xml:space="preserve">Loyiha </w:t>
            </w:r>
            <w:r>
              <w:rPr>
                <w:rFonts w:ascii="Times New Roman" w:hAnsi="Times New Roman" w:cs="Times New Roman"/>
                <w:sz w:val="24"/>
                <w:szCs w:val="24"/>
                <w:lang w:val="uz-Cyrl-UZ"/>
              </w:rPr>
              <w:t>B</w:t>
            </w:r>
          </w:p>
        </w:tc>
        <w:tc>
          <w:tcPr>
            <w:tcW w:w="2366" w:type="dxa"/>
            <w:vAlign w:val="center"/>
          </w:tcPr>
          <w:p w14:paraId="360DFD0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-4025</w:t>
            </w:r>
          </w:p>
        </w:tc>
        <w:tc>
          <w:tcPr>
            <w:tcW w:w="2366" w:type="dxa"/>
            <w:vAlign w:val="center"/>
          </w:tcPr>
          <w:p w14:paraId="3973A03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2880</w:t>
            </w:r>
          </w:p>
        </w:tc>
        <w:tc>
          <w:tcPr>
            <w:tcW w:w="2249" w:type="dxa"/>
            <w:vAlign w:val="center"/>
          </w:tcPr>
          <w:p w14:paraId="236D72D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2880</w:t>
            </w:r>
          </w:p>
        </w:tc>
      </w:tr>
    </w:tbl>
    <w:p w14:paraId="3AB1B633">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p>
    <w:p w14:paraId="0A88DAA8">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rPr>
        <w:t>NPV</w:t>
      </w:r>
      <w:r>
        <w:rPr>
          <w:rFonts w:ascii="Times New Roman" w:hAnsi="Times New Roman" w:eastAsia="LiberationSerif-Bold" w:cs="Times New Roman"/>
          <w:b/>
          <w:bCs/>
          <w:sz w:val="28"/>
          <w:szCs w:val="28"/>
          <w:vertAlign w:val="subscript"/>
        </w:rPr>
        <w:t>A</w:t>
      </w:r>
      <w:r>
        <w:rPr>
          <w:rFonts w:ascii="Times New Roman" w:hAnsi="Times New Roman" w:eastAsia="LiberationSerif-Bold" w:cs="Times New Roman"/>
          <w:b/>
          <w:bCs/>
          <w:sz w:val="28"/>
          <w:szCs w:val="28"/>
        </w:rPr>
        <w:t xml:space="preserve"> q -</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1900</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Q</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1870</w:t>
      </w:r>
      <w:r>
        <w:rPr>
          <w:rFonts w:ascii="Times New Roman" w:hAnsi="Times New Roman" w:eastAsia="LiberationSerif-Bold" w:cs="Times New Roman"/>
          <w:b/>
          <w:bCs/>
          <w:sz w:val="28"/>
          <w:szCs w:val="28"/>
          <w:vertAlign w:val="subscript"/>
        </w:rPr>
        <w:t>1,15</w:t>
      </w:r>
      <w:r>
        <w:rPr>
          <w:rFonts w:ascii="Times New Roman" w:hAnsi="Times New Roman" w:eastAsia="LiberationSerif-Bold" w:cs="Times New Roman"/>
          <w:b/>
          <w:bCs/>
          <w:sz w:val="28"/>
          <w:szCs w:val="28"/>
        </w:rPr>
        <w:t xml:space="preserve"> Q</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4840</w:t>
      </w:r>
      <w:r>
        <w:rPr>
          <w:rFonts w:ascii="Times New Roman" w:hAnsi="Times New Roman" w:eastAsia="LiberationSerif-Bold" w:cs="Times New Roman"/>
          <w:b/>
          <w:bCs/>
          <w:sz w:val="28"/>
          <w:szCs w:val="28"/>
          <w:vertAlign w:val="subscript"/>
        </w:rPr>
        <w:t>1,15</w:t>
      </w:r>
      <w:r>
        <w:rPr>
          <w:rFonts w:ascii="Times New Roman" w:hAnsi="Times New Roman" w:eastAsia="LiberationSerif-Bold" w:cs="Times New Roman"/>
          <w:b/>
          <w:bCs/>
          <w:sz w:val="28"/>
          <w:szCs w:val="28"/>
          <w:vertAlign w:val="superscript"/>
        </w:rPr>
        <w:t>2</w:t>
      </w:r>
      <w:r>
        <w:rPr>
          <w:rFonts w:ascii="Times New Roman" w:hAnsi="Times New Roman" w:eastAsia="LiberationSerif-Bold" w:cs="Times New Roman"/>
          <w:b/>
          <w:bCs/>
          <w:sz w:val="28"/>
          <w:szCs w:val="28"/>
        </w:rPr>
        <w:t xml:space="preserve"> q 400</w:t>
      </w:r>
    </w:p>
    <w:p w14:paraId="62EAE345">
      <w:pPr>
        <w:autoSpaceDE w:val="0"/>
        <w:autoSpaceDN w:val="0"/>
        <w:adjustRightInd w:val="0"/>
        <w:spacing w:after="0" w:line="240" w:lineRule="auto"/>
        <w:ind w:firstLine="709"/>
        <w:jc w:val="center"/>
        <w:rPr>
          <w:rFonts w:ascii="Times New Roman" w:hAnsi="Times New Roman" w:eastAsia="LiberationSerif-Bold" w:cs="Times New Roman"/>
          <w:b/>
          <w:bCs/>
          <w:sz w:val="28"/>
          <w:szCs w:val="28"/>
          <w:lang w:val="uz-Cyrl-UZ"/>
        </w:rPr>
      </w:pPr>
    </w:p>
    <w:p w14:paraId="40D03E7D">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rPr>
        <w:t>NPV</w:t>
      </w:r>
      <w:r>
        <w:rPr>
          <w:rFonts w:ascii="Times New Roman" w:hAnsi="Times New Roman" w:eastAsia="LiberationSerif-Bold" w:cs="Times New Roman"/>
          <w:b/>
          <w:bCs/>
          <w:sz w:val="28"/>
          <w:szCs w:val="28"/>
          <w:vertAlign w:val="subscript"/>
          <w:lang w:val="uz-Cyrl-UZ"/>
        </w:rPr>
        <w:t>B</w:t>
      </w:r>
      <w:r>
        <w:rPr>
          <w:rFonts w:ascii="Times New Roman" w:hAnsi="Times New Roman" w:eastAsia="LiberationSerif-Bold" w:cs="Times New Roman"/>
          <w:b/>
          <w:bCs/>
          <w:sz w:val="28"/>
          <w:szCs w:val="28"/>
        </w:rPr>
        <w:t xml:space="preserve"> q -</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4025</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Q2</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880</w:t>
      </w:r>
      <w:r>
        <w:rPr>
          <w:rFonts w:ascii="Times New Roman" w:hAnsi="Times New Roman" w:eastAsia="LiberationSerif-Bold" w:cs="Times New Roman"/>
          <w:b/>
          <w:bCs/>
          <w:sz w:val="28"/>
          <w:szCs w:val="28"/>
          <w:vertAlign w:val="subscript"/>
        </w:rPr>
        <w:t>1,15</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Q</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b/>
          <w:bCs/>
          <w:sz w:val="28"/>
          <w:szCs w:val="28"/>
        </w:rPr>
        <w:t>2880</w:t>
      </w:r>
      <w:r>
        <w:rPr>
          <w:rFonts w:ascii="Times New Roman" w:hAnsi="Times New Roman" w:eastAsia="LiberationSerif-Bold" w:cs="Times New Roman"/>
          <w:b/>
          <w:bCs/>
          <w:sz w:val="28"/>
          <w:szCs w:val="28"/>
          <w:vertAlign w:val="subscript"/>
        </w:rPr>
        <w:t>1,15</w:t>
      </w:r>
      <w:r>
        <w:rPr>
          <w:rFonts w:ascii="Times New Roman" w:hAnsi="Times New Roman" w:eastAsia="LiberationSerif-Bold" w:cs="Times New Roman"/>
          <w:b/>
          <w:bCs/>
          <w:sz w:val="28"/>
          <w:szCs w:val="28"/>
          <w:vertAlign w:val="superscript"/>
        </w:rPr>
        <w:t>2</w:t>
      </w:r>
      <w:r>
        <w:rPr>
          <w:rFonts w:ascii="Times New Roman" w:hAnsi="Times New Roman" w:eastAsia="LiberationSerif-Bold" w:cs="Times New Roman"/>
          <w:b/>
          <w:bCs/>
          <w:sz w:val="28"/>
          <w:szCs w:val="28"/>
        </w:rPr>
        <w:t xml:space="preserve"> q 657</w:t>
      </w:r>
    </w:p>
    <w:p w14:paraId="5206B9D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3879A2D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 loyiha ma’qul ko’rinadi, ammo bu erda qaltislik darajasi hisobiga olinmadi.</w:t>
      </w:r>
    </w:p>
    <w:p w14:paraId="1DD7D21E">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 mutaxassislari A loyihani qaltissiz, B loyihani esa qaltisli deb topishdi va qaltis uchun mukofotni 5% miqdorda hisoblashdi. Endi qaltislik mukofotini hisobga olgan holda ikki loyihani taqqoslaymiz:</w:t>
      </w:r>
    </w:p>
    <w:p w14:paraId="3AD2DFD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Demak mavjud qaltislikni hisobga olsak A loyiha biz uchun foydali ekanini ko’ramiz.</w:t>
      </w:r>
    </w:p>
    <w:p w14:paraId="71BF1BD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«Qaltis uchun mukofot» qanday hisoblanadi? </w:t>
      </w:r>
      <w:r>
        <w:rPr>
          <w:rFonts w:ascii="Times New Roman" w:hAnsi="Times New Roman" w:cs="Times New Roman"/>
          <w:sz w:val="28"/>
          <w:szCs w:val="28"/>
          <w:lang w:val="en-US"/>
        </w:rPr>
        <w:t>Buning uch turi mavjud:</w:t>
      </w:r>
    </w:p>
    <w:p w14:paraId="7700D65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Kumulyativ usul</w:t>
      </w:r>
    </w:p>
    <w:p w14:paraId="12827F6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Kapital aktivlarni baholash usuli</w:t>
      </w:r>
    </w:p>
    <w:p w14:paraId="5E24ED0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Diskont normasini baholash usuli.</w:t>
      </w:r>
    </w:p>
    <w:p w14:paraId="50F703A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Kumulyativ usulda asosan uch xil qaltis hisobga olinadi:</w:t>
      </w:r>
    </w:p>
    <w:p w14:paraId="411731F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Siyosiy qaltis;</w:t>
      </w:r>
    </w:p>
    <w:p w14:paraId="122497E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 qatnashchilari layoqa</w:t>
      </w:r>
      <w:r>
        <w:rPr>
          <w:rFonts w:ascii="Times New Roman" w:hAnsi="Times New Roman" w:cs="Times New Roman"/>
          <w:sz w:val="28"/>
          <w:szCs w:val="28"/>
          <w:lang w:val="uz-Cyrl-UZ"/>
        </w:rPr>
        <w:t>ts</w:t>
      </w:r>
      <w:r>
        <w:rPr>
          <w:rFonts w:ascii="Times New Roman" w:hAnsi="Times New Roman" w:cs="Times New Roman"/>
          <w:sz w:val="28"/>
          <w:szCs w:val="28"/>
          <w:lang w:val="en-US"/>
        </w:rPr>
        <w:t>izligi;</w:t>
      </w:r>
    </w:p>
    <w:p w14:paraId="5125538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Ko’zda tutilgan daromadlarning olinmasligi qaltis.</w:t>
      </w:r>
    </w:p>
    <w:p w14:paraId="533838A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Siyosiy qaltislik odatda quyidagi hollarda mavjud bo’ladi:</w:t>
      </w:r>
    </w:p>
    <w:p w14:paraId="06C461C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Loyihaga salbiy ta’sir </w:t>
      </w:r>
      <w:r>
        <w:rPr>
          <w:rFonts w:ascii="Times New Roman" w:hAnsi="Times New Roman" w:cs="Times New Roman"/>
          <w:sz w:val="28"/>
          <w:szCs w:val="28"/>
          <w:lang w:val="uz-Cyrl-UZ"/>
        </w:rPr>
        <w:t>e</w:t>
      </w:r>
      <w:r>
        <w:rPr>
          <w:rFonts w:ascii="Times New Roman" w:hAnsi="Times New Roman" w:cs="Times New Roman"/>
          <w:sz w:val="28"/>
          <w:szCs w:val="28"/>
          <w:lang w:val="en-US"/>
        </w:rPr>
        <w:t>tadigan tarafga mamlakat qonunchiligining o’zgarishi;</w:t>
      </w:r>
    </w:p>
    <w:p w14:paraId="78F2705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Mol-mulkni konfiskatsiya qilish, milliy nizolar;</w:t>
      </w:r>
    </w:p>
    <w:p w14:paraId="013CBEE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Konvertatsiya cheklanganligi.</w:t>
      </w:r>
    </w:p>
    <w:p w14:paraId="0DE8BEE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Umuman siyosiy qaltislik mamlakatning investitsion muhiti bilan bog’liq.</w:t>
      </w:r>
    </w:p>
    <w:p w14:paraId="632791D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Maxsus reyting firmasi bo’lmish BERI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(Germaniya), </w:t>
      </w:r>
      <w:r>
        <w:rPr>
          <w:rFonts w:ascii="Times New Roman" w:hAnsi="Times New Roman" w:cs="Times New Roman"/>
          <w:sz w:val="28"/>
          <w:szCs w:val="28"/>
          <w:lang w:val="uz-Cyrl-UZ"/>
        </w:rPr>
        <w:t>Sh</w:t>
      </w:r>
      <w:r>
        <w:rPr>
          <w:rFonts w:ascii="Times New Roman" w:hAnsi="Times New Roman" w:cs="Times New Roman"/>
          <w:sz w:val="28"/>
          <w:szCs w:val="28"/>
          <w:lang w:val="en-US"/>
        </w:rPr>
        <w:t>vetsariya banklari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ass</w:t>
      </w:r>
      <w:r>
        <w:rPr>
          <w:rFonts w:ascii="Times New Roman" w:hAnsi="Times New Roman" w:cs="Times New Roman"/>
          <w:sz w:val="28"/>
          <w:szCs w:val="28"/>
          <w:lang w:val="uz-Cyrl-UZ"/>
        </w:rPr>
        <w:t>o</w:t>
      </w:r>
      <w:r>
        <w:rPr>
          <w:rFonts w:ascii="Times New Roman" w:hAnsi="Times New Roman" w:cs="Times New Roman"/>
          <w:sz w:val="28"/>
          <w:szCs w:val="28"/>
          <w:lang w:val="en-US"/>
        </w:rPr>
        <w:t>tsiatsiyasi va Earnst &amp; Young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auditorlik korporatsiyasi dunyo mamlakatlarida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investitsiyalashda siyosiy qaltis darajasi bo’yicha reyting olib borib, uni doimiy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ravishda chop qilib borishadi.</w:t>
      </w:r>
    </w:p>
    <w:p w14:paraId="71F25471">
      <w:pPr>
        <w:autoSpaceDE w:val="0"/>
        <w:autoSpaceDN w:val="0"/>
        <w:adjustRightInd w:val="0"/>
        <w:spacing w:after="0" w:line="240" w:lineRule="auto"/>
        <w:ind w:firstLine="709"/>
        <w:jc w:val="both"/>
        <w:rPr>
          <w:rFonts w:ascii="Times New Roman" w:hAnsi="Times New Roman" w:cs="Times New Roman"/>
          <w:b/>
          <w:sz w:val="28"/>
          <w:szCs w:val="28"/>
          <w:lang w:val="en-US"/>
        </w:rPr>
      </w:pPr>
      <w:r>
        <w:rPr>
          <w:rFonts w:ascii="Times New Roman" w:hAnsi="Times New Roman" w:cs="Times New Roman"/>
          <w:b/>
          <w:sz w:val="28"/>
          <w:szCs w:val="28"/>
          <w:lang w:val="en-US"/>
        </w:rPr>
        <w:t>Loyiha qatnashchilari layoqatsizligi qaltisligi quyidagicha:</w:t>
      </w:r>
    </w:p>
    <w:p w14:paraId="76CAFB8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Firmada moliyaviy va aylanma mablag’lar etishmasligi, va qarzni to’lay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olmaslik;</w:t>
      </w:r>
    </w:p>
    <w:p w14:paraId="5DDACEC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 boshqa qatnashchilarining moliyaviy layoqa</w:t>
      </w:r>
      <w:r>
        <w:rPr>
          <w:rFonts w:ascii="Times New Roman" w:hAnsi="Times New Roman" w:cs="Times New Roman"/>
          <w:sz w:val="28"/>
          <w:szCs w:val="28"/>
          <w:lang w:val="uz-Cyrl-UZ"/>
        </w:rPr>
        <w:t>ts</w:t>
      </w:r>
      <w:r>
        <w:rPr>
          <w:rFonts w:ascii="Times New Roman" w:hAnsi="Times New Roman" w:cs="Times New Roman"/>
          <w:sz w:val="28"/>
          <w:szCs w:val="28"/>
          <w:lang w:val="en-US"/>
        </w:rPr>
        <w:t>izligi.</w:t>
      </w:r>
    </w:p>
    <w:p w14:paraId="14DF0BB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Qaltis uchun mukofot miqdori loyihani amalga oshirishning iqtisodiy tashkiliy</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taraflari qanchalik puxtaligiga bog’liq bo’ladi. Agar loyiha qatnashchilarining bir-biriga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va majburiyatlariga layoqatliligini moddiy asoslab isbotlashsa qaltislik uchun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mukofot kamayadi. Agar isbotlanmasa ko’payadi.</w:t>
      </w:r>
    </w:p>
    <w:p w14:paraId="68D5E81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b/>
          <w:sz w:val="28"/>
          <w:szCs w:val="28"/>
          <w:lang w:val="en-US"/>
        </w:rPr>
        <w:t>Ko’zda tutilgan daromodlarning olinmasligi qaltisligi</w:t>
      </w:r>
      <w:r>
        <w:rPr>
          <w:rFonts w:ascii="Times New Roman" w:hAnsi="Times New Roman" w:cs="Times New Roman"/>
          <w:sz w:val="28"/>
          <w:szCs w:val="28"/>
          <w:lang w:val="en-US"/>
        </w:rPr>
        <w:t>.</w:t>
      </w:r>
    </w:p>
    <w:p w14:paraId="54E90DB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turdagi qaltislik asosan loyihaning texnik-tashkiliy taraflari va narx</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tebranishlari bilan bog’liq. Bunday qaltislik uchun mukofot loyihaning texnik 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iqtisodiy, ilmiy asoslanganligi va yana marketing o’rganilganiligi bilan aniqlanadi.</w:t>
      </w:r>
    </w:p>
    <w:p w14:paraId="4469E7A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Misol, ayrim faktorlar ta’siri quyidagicha hisobga olinadi:</w:t>
      </w:r>
    </w:p>
    <w:p w14:paraId="74C5AC0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1.</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Qo’llaniladigan tehnologiy qaltislik uchun mukofot,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p>
    <w:p w14:paraId="1AFB772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an’anaviy 0 yangi 2-5</w:t>
      </w:r>
    </w:p>
    <w:p w14:paraId="50F7A4C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Talab va narxning noniqligi</w:t>
      </w:r>
    </w:p>
    <w:p w14:paraId="37E4888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oldindan mavjud tovarga 0-5</w:t>
      </w:r>
    </w:p>
    <w:p w14:paraId="492F0B1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yangi tovarga 5-10</w:t>
      </w:r>
    </w:p>
    <w:p w14:paraId="588D74A6">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049CEAE1">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13.4 Loyihalarning qaltislikka chidamliligi tahlili</w:t>
      </w:r>
    </w:p>
    <w:p w14:paraId="5A193048">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37C33C40">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Loyihalarning qaltislikka chidamliligi - bu loyihanig zarar ko’ra boshlash imkoniyatidan qanchalik uzoqligini ko’rsatuvchi ko’rsatkichdir. Ya’ni loyihaning rejalashtirilgan yoki mavjud darajasidan ahvol qanchalik yomonlashganda ham loyiha zarar keltirmasligidir. Demak, bu oraliq qancha uzoq bo’lsa loyihanig qaltisga chidamliligi shuncha yuqori bo’ladi. Buni aniqlashda quyidagi uchta ko’rsatkichdan foydalaniladi:</w:t>
      </w:r>
    </w:p>
    <w:p w14:paraId="2BD93C9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1. Zararsizlik nuqtasi (break-even point);</w:t>
      </w:r>
    </w:p>
    <w:p w14:paraId="1036B70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Xavfsizlik chegarasi (margin of safety);</w:t>
      </w:r>
    </w:p>
    <w:p w14:paraId="6AFFEAB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Ichki daromad stavkasi (internal rate of return).</w:t>
      </w:r>
    </w:p>
    <w:p w14:paraId="003191BD">
      <w:pPr>
        <w:autoSpaceDE w:val="0"/>
        <w:autoSpaceDN w:val="0"/>
        <w:adjustRightInd w:val="0"/>
        <w:spacing w:before="120" w:after="120" w:line="240" w:lineRule="auto"/>
        <w:ind w:firstLine="709"/>
        <w:jc w:val="center"/>
        <w:rPr>
          <w:rFonts w:ascii="Times New Roman" w:hAnsi="Times New Roman" w:cs="Times New Roman"/>
          <w:sz w:val="28"/>
          <w:szCs w:val="28"/>
          <w:lang w:val="en-US"/>
        </w:rPr>
      </w:pPr>
      <w:r>
        <w:rPr>
          <w:rFonts w:ascii="Times New Roman" w:hAnsi="Times New Roman" w:eastAsia="LiberationSerif-Bold" w:cs="Times New Roman"/>
          <w:b/>
          <w:bCs/>
          <w:sz w:val="28"/>
          <w:szCs w:val="28"/>
          <w:lang w:val="en-US"/>
        </w:rPr>
        <w:t xml:space="preserve">Zararsizlik nuqtasi miqdorda q FC G’ P-VCU </w:t>
      </w:r>
      <w:r>
        <w:rPr>
          <w:rFonts w:ascii="Times New Roman" w:hAnsi="Times New Roman" w:cs="Times New Roman"/>
          <w:sz w:val="28"/>
          <w:szCs w:val="28"/>
          <w:lang w:val="en-US"/>
        </w:rPr>
        <w:t>( 24-formula):</w:t>
      </w:r>
    </w:p>
    <w:p w14:paraId="36FCD71B">
      <w:pPr>
        <w:autoSpaceDE w:val="0"/>
        <w:autoSpaceDN w:val="0"/>
        <w:adjustRightInd w:val="0"/>
        <w:spacing w:after="0" w:line="240" w:lineRule="auto"/>
        <w:ind w:firstLine="709"/>
        <w:jc w:val="both"/>
        <w:rPr>
          <w:rFonts w:ascii="Times New Roman" w:hAnsi="Times New Roman" w:eastAsia="LiberationSerif-Bold" w:cs="Times New Roman"/>
          <w:sz w:val="28"/>
          <w:szCs w:val="28"/>
          <w:lang w:val="uz-Cyrl-UZ"/>
        </w:rPr>
      </w:pPr>
      <w:r>
        <w:rPr>
          <w:rFonts w:ascii="Times New Roman" w:hAnsi="Times New Roman" w:eastAsia="LiberationSerif-Bold" w:cs="Times New Roman"/>
          <w:sz w:val="28"/>
          <w:szCs w:val="28"/>
          <w:lang w:val="uz-Cyrl-UZ"/>
        </w:rPr>
        <w:t>Bu erda:</w:t>
      </w:r>
    </w:p>
    <w:p w14:paraId="0A7F34E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eastAsia="LiberationSerif-Bold" w:cs="Times New Roman"/>
          <w:sz w:val="28"/>
          <w:szCs w:val="28"/>
          <w:lang w:val="uz-Cyrl-UZ"/>
        </w:rPr>
        <w:t xml:space="preserve">P (PRICE) </w:t>
      </w:r>
      <w:r>
        <w:rPr>
          <w:rFonts w:ascii="Times New Roman" w:hAnsi="Times New Roman" w:cs="Times New Roman"/>
          <w:sz w:val="28"/>
          <w:szCs w:val="28"/>
          <w:lang w:val="uz-Cyrl-UZ"/>
        </w:rPr>
        <w:t xml:space="preserve"> –bir birlik mahsulot bahosi;</w:t>
      </w:r>
    </w:p>
    <w:p w14:paraId="233E3D97">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eastAsia="LiberationSerif-Bold" w:cs="Times New Roman"/>
          <w:sz w:val="28"/>
          <w:szCs w:val="28"/>
          <w:lang w:val="uz-Cyrl-UZ"/>
        </w:rPr>
        <w:t xml:space="preserve">FC (FIXED COSTS) </w:t>
      </w:r>
      <w:r>
        <w:rPr>
          <w:rFonts w:ascii="Times New Roman" w:hAnsi="Times New Roman" w:cs="Times New Roman"/>
          <w:sz w:val="28"/>
          <w:szCs w:val="28"/>
          <w:lang w:val="uz-Cyrl-UZ"/>
        </w:rPr>
        <w:t>– doimiy xarajatlar;</w:t>
      </w:r>
    </w:p>
    <w:p w14:paraId="0EC0D9F2">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eastAsia="LiberationSerif-Bold" w:cs="Times New Roman"/>
          <w:sz w:val="28"/>
          <w:szCs w:val="28"/>
          <w:lang w:val="uz-Cyrl-UZ"/>
        </w:rPr>
        <w:t>VCU (VARIABLE COSTS PER UNIT)</w:t>
      </w:r>
      <w:r>
        <w:rPr>
          <w:rFonts w:ascii="Times New Roman" w:hAnsi="Times New Roman" w:cs="Times New Roman"/>
          <w:sz w:val="28"/>
          <w:szCs w:val="28"/>
          <w:lang w:val="uz-Cyrl-UZ"/>
        </w:rPr>
        <w:t xml:space="preserve"> – bir birlik xarajatga qilinadigan o’zgaruvchi xarajatlar.</w:t>
      </w:r>
    </w:p>
    <w:p w14:paraId="186E2CE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Zararsizlik nuqtasi shunday ishlab chiqarish nuqtasiki, unda qancha birlik mahsulot ishlab chiqarilsa, loyiha uchun foyda ham zarar ham 0 ga teng bo’ladi.</w:t>
      </w:r>
    </w:p>
    <w:p w14:paraId="30B93AC3">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Demak firma o’z xarajatlarini qoplashi uchun kamida zararsizlik nuqtasigacha mahsulot ishlab chiqishi kerak( 25-formula):.</w:t>
      </w:r>
    </w:p>
    <w:p w14:paraId="62F2DBBF">
      <w:pPr>
        <w:autoSpaceDE w:val="0"/>
        <w:autoSpaceDN w:val="0"/>
        <w:adjustRightInd w:val="0"/>
        <w:spacing w:before="120" w:after="12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Xavfsizlik chegarasi</w:t>
      </w:r>
      <w:r>
        <w:rPr>
          <w:rFonts w:ascii="Times New Roman" w:hAnsi="Times New Roman" w:eastAsia="LiberationSerif-Bold" w:cs="Times New Roman"/>
          <w:b/>
          <w:bCs/>
          <w:sz w:val="16"/>
          <w:szCs w:val="16"/>
          <w:lang w:val="uz-Cyrl-UZ"/>
        </w:rPr>
        <w:t>oraliG’i</w:t>
      </w:r>
      <w:r>
        <w:rPr>
          <w:rFonts w:ascii="Times New Roman" w:hAnsi="Times New Roman" w:eastAsia="LiberationSerif-Bold" w:cs="Times New Roman"/>
          <w:b/>
          <w:bCs/>
          <w:sz w:val="28"/>
          <w:szCs w:val="28"/>
          <w:lang w:val="uz-Cyrl-UZ"/>
        </w:rPr>
        <w:t xml:space="preserve"> q (Q - Q</w:t>
      </w:r>
      <w:r>
        <w:rPr>
          <w:rFonts w:ascii="Times New Roman" w:hAnsi="Times New Roman" w:eastAsia="LiberationSerif-Bold" w:cs="Times New Roman"/>
          <w:b/>
          <w:bCs/>
          <w:sz w:val="16"/>
          <w:szCs w:val="16"/>
          <w:lang w:val="uz-Cyrl-UZ"/>
        </w:rPr>
        <w:t xml:space="preserve">BE </w:t>
      </w:r>
      <w:r>
        <w:rPr>
          <w:rFonts w:ascii="Times New Roman" w:hAnsi="Times New Roman" w:eastAsia="LiberationSerif-Bold" w:cs="Times New Roman"/>
          <w:b/>
          <w:bCs/>
          <w:sz w:val="28"/>
          <w:szCs w:val="28"/>
          <w:lang w:val="uz-Cyrl-UZ"/>
        </w:rPr>
        <w:t>G’ Q)*100%</w:t>
      </w:r>
    </w:p>
    <w:p w14:paraId="673169A0">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Bu erda:</w:t>
      </w:r>
    </w:p>
    <w:p w14:paraId="7044708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eastAsia="LiberationSerif-Bold" w:cs="Times New Roman"/>
          <w:sz w:val="28"/>
          <w:szCs w:val="28"/>
          <w:lang w:val="uz-Cyrl-UZ"/>
        </w:rPr>
        <w:t>Q</w:t>
      </w:r>
      <w:r>
        <w:rPr>
          <w:rFonts w:ascii="Times New Roman" w:hAnsi="Times New Roman" w:cs="Times New Roman"/>
          <w:sz w:val="28"/>
          <w:szCs w:val="28"/>
          <w:lang w:val="uz-Cyrl-UZ"/>
        </w:rPr>
        <w:t xml:space="preserve"> –kutilayotgan sotish miqdori;</w:t>
      </w:r>
    </w:p>
    <w:p w14:paraId="76D5809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eastAsia="LiberationSerif-Bold" w:cs="Times New Roman"/>
          <w:sz w:val="28"/>
          <w:szCs w:val="28"/>
          <w:lang w:val="uz-Cyrl-UZ"/>
        </w:rPr>
        <w:t>Q</w:t>
      </w:r>
      <w:r>
        <w:rPr>
          <w:rFonts w:ascii="Times New Roman" w:hAnsi="Times New Roman" w:eastAsia="LiberationSerif-Bold" w:cs="Times New Roman"/>
          <w:sz w:val="16"/>
          <w:szCs w:val="16"/>
          <w:lang w:val="uz-Cyrl-UZ"/>
        </w:rPr>
        <w:t>BE</w:t>
      </w:r>
      <w:r>
        <w:rPr>
          <w:rFonts w:ascii="Times New Roman" w:hAnsi="Times New Roman" w:cs="Times New Roman"/>
          <w:sz w:val="28"/>
          <w:szCs w:val="28"/>
          <w:lang w:val="uz-Cyrl-UZ"/>
        </w:rPr>
        <w:t xml:space="preserve"> – zararsizlik nuqtasidagi sotish miqdori.</w:t>
      </w:r>
    </w:p>
    <w:p w14:paraId="0DB3400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Xavfsizlik chegarasi loyiha zarar ko’rishni boshlaydigan miqdordan qanchalik uzoqdaligini foiz ko’rsatkichida ko’rsatadi. Demak, sotish hajmi uzog’i bilan necha foizga kamayganda ham firma zarar ko’rmay ishlaydi. Bu ko’rsatkichning yuqori bo’lishi loyihaning qaltisga chidamliligi darajasi ham yuqori bo’lishini bildiradi.</w:t>
      </w:r>
    </w:p>
    <w:p w14:paraId="2F0D4875">
      <w:pPr>
        <w:autoSpaceDE w:val="0"/>
        <w:autoSpaceDN w:val="0"/>
        <w:adjustRightInd w:val="0"/>
        <w:spacing w:after="0" w:line="240" w:lineRule="auto"/>
        <w:ind w:firstLine="709"/>
        <w:jc w:val="both"/>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 xml:space="preserve">Ichki daromad stavkasi </w:t>
      </w:r>
      <w:r>
        <w:rPr>
          <w:rFonts w:ascii="Times New Roman" w:hAnsi="Times New Roman" w:cs="Times New Roman"/>
          <w:sz w:val="28"/>
          <w:szCs w:val="28"/>
          <w:lang w:val="uz-Cyrl-UZ"/>
        </w:rPr>
        <w:t>( 26-formula):</w:t>
      </w:r>
    </w:p>
    <w:p w14:paraId="7F790FFD">
      <w:pPr>
        <w:autoSpaceDE w:val="0"/>
        <w:autoSpaceDN w:val="0"/>
        <w:adjustRightInd w:val="0"/>
        <w:spacing w:before="120" w:after="12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IRR ≈ A Q (NPV</w:t>
      </w:r>
      <w:r>
        <w:rPr>
          <w:rFonts w:ascii="Times New Roman" w:hAnsi="Times New Roman" w:eastAsia="LiberationSerif-Bold" w:cs="Times New Roman"/>
          <w:b/>
          <w:bCs/>
          <w:sz w:val="16"/>
          <w:szCs w:val="16"/>
          <w:lang w:val="uz-Cyrl-UZ"/>
        </w:rPr>
        <w:t xml:space="preserve">B </w:t>
      </w:r>
      <w:r>
        <w:rPr>
          <w:rFonts w:ascii="Times New Roman" w:hAnsi="Times New Roman" w:eastAsia="LiberationSerif-Bold" w:cs="Times New Roman"/>
          <w:b/>
          <w:bCs/>
          <w:sz w:val="28"/>
          <w:szCs w:val="28"/>
          <w:lang w:val="uz-Cyrl-UZ"/>
        </w:rPr>
        <w:t>G’ NPV</w:t>
      </w:r>
      <w:r>
        <w:rPr>
          <w:rFonts w:ascii="Times New Roman" w:hAnsi="Times New Roman" w:eastAsia="LiberationSerif-Bold" w:cs="Times New Roman"/>
          <w:b/>
          <w:bCs/>
          <w:sz w:val="16"/>
          <w:szCs w:val="16"/>
          <w:lang w:val="uz-Cyrl-UZ"/>
        </w:rPr>
        <w:t xml:space="preserve">A </w:t>
      </w:r>
      <w:r>
        <w:rPr>
          <w:rFonts w:ascii="Times New Roman" w:hAnsi="Times New Roman" w:eastAsia="LiberationSerif-Bold" w:cs="Times New Roman"/>
          <w:b/>
          <w:bCs/>
          <w:sz w:val="28"/>
          <w:szCs w:val="28"/>
          <w:lang w:val="uz-Cyrl-UZ"/>
        </w:rPr>
        <w:t>- NPV</w:t>
      </w:r>
      <w:r>
        <w:rPr>
          <w:rFonts w:ascii="Times New Roman" w:hAnsi="Times New Roman" w:eastAsia="LiberationSerif-Bold" w:cs="Times New Roman"/>
          <w:b/>
          <w:bCs/>
          <w:sz w:val="16"/>
          <w:szCs w:val="16"/>
          <w:lang w:val="uz-Cyrl-UZ"/>
        </w:rPr>
        <w:t>B</w:t>
      </w:r>
      <w:r>
        <w:rPr>
          <w:rFonts w:ascii="Times New Roman" w:hAnsi="Times New Roman" w:eastAsia="LiberationSerif-Bold" w:cs="Times New Roman"/>
          <w:b/>
          <w:bCs/>
          <w:sz w:val="28"/>
          <w:szCs w:val="28"/>
          <w:lang w:val="uz-Cyrl-UZ"/>
        </w:rPr>
        <w:t>) * (B-A)</w:t>
      </w:r>
    </w:p>
    <w:p w14:paraId="25D0348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 – diskontlashning past darajasi;</w:t>
      </w:r>
    </w:p>
    <w:p w14:paraId="028F2D4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V</w:t>
      </w:r>
      <w:r>
        <w:rPr>
          <w:rFonts w:ascii="Times New Roman" w:hAnsi="Times New Roman" w:cs="Times New Roman"/>
          <w:sz w:val="28"/>
          <w:szCs w:val="28"/>
          <w:lang w:val="en-US"/>
        </w:rPr>
        <w:t xml:space="preserve"> – diskontlashning yuqori darajasi;</w:t>
      </w:r>
    </w:p>
    <w:p w14:paraId="5391864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eastAsia="LiberationSerif-Bold" w:cs="Times New Roman"/>
          <w:bCs/>
          <w:sz w:val="28"/>
          <w:szCs w:val="28"/>
          <w:lang w:val="en-US"/>
        </w:rPr>
        <w:t>NPV</w:t>
      </w:r>
      <w:r>
        <w:rPr>
          <w:rFonts w:ascii="Times New Roman" w:hAnsi="Times New Roman" w:cs="Times New Roman"/>
          <w:sz w:val="28"/>
          <w:szCs w:val="28"/>
          <w:lang w:val="en-US"/>
        </w:rPr>
        <w:t xml:space="preserve"> – sof keltirilgan qiymat.</w:t>
      </w:r>
    </w:p>
    <w:p w14:paraId="7BC6B5F9">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eastAsia="LiberationSerif-Bold" w:cs="Times New Roman"/>
          <w:sz w:val="28"/>
          <w:szCs w:val="28"/>
          <w:lang w:val="en-US"/>
        </w:rPr>
        <w:t>IRR –</w:t>
      </w:r>
      <w:r>
        <w:rPr>
          <w:rFonts w:ascii="Times New Roman" w:hAnsi="Times New Roman" w:eastAsia="LiberationSerif-Bold" w:cs="Times New Roman"/>
          <w:sz w:val="28"/>
          <w:szCs w:val="28"/>
          <w:lang w:val="uz-Cyrl-UZ"/>
        </w:rPr>
        <w:t xml:space="preserve"> </w:t>
      </w:r>
      <w:r>
        <w:rPr>
          <w:rFonts w:ascii="Times New Roman" w:hAnsi="Times New Roman" w:cs="Times New Roman"/>
          <w:sz w:val="28"/>
          <w:szCs w:val="28"/>
          <w:lang w:val="uz-Cyrl-UZ"/>
        </w:rPr>
        <w:t>diskont darajasi necha foiz bo’lganda loyihaning sof keltirilgan qiymati (</w:t>
      </w:r>
      <w:r>
        <w:rPr>
          <w:rFonts w:ascii="Times New Roman" w:hAnsi="Times New Roman" w:eastAsia="LiberationSerif-Bold" w:cs="Times New Roman"/>
          <w:bCs/>
          <w:sz w:val="28"/>
          <w:szCs w:val="28"/>
          <w:lang w:val="en-US"/>
        </w:rPr>
        <w:t>NPV</w:t>
      </w:r>
      <w:r>
        <w:rPr>
          <w:rFonts w:ascii="Times New Roman" w:hAnsi="Times New Roman" w:eastAsia="LiberationSerif-Bold" w:cs="Times New Roman"/>
          <w:b/>
          <w:bCs/>
          <w:sz w:val="28"/>
          <w:szCs w:val="28"/>
          <w:lang w:val="uz-Cyrl-UZ"/>
        </w:rPr>
        <w:t xml:space="preserve">) </w:t>
      </w:r>
      <w:r>
        <w:rPr>
          <w:rFonts w:ascii="Times New Roman" w:hAnsi="Times New Roman" w:cs="Times New Roman"/>
          <w:sz w:val="28"/>
          <w:szCs w:val="28"/>
          <w:lang w:val="uz-Cyrl-UZ"/>
        </w:rPr>
        <w:t xml:space="preserve">0 bo’lishini ko’rsatadi. Ya’ni pulni loyihaga sarflash bilan shu mablag’ni bankda saqlash bir xil natija beradi. Demak, </w:t>
      </w:r>
      <w:r>
        <w:rPr>
          <w:rFonts w:ascii="Times New Roman" w:hAnsi="Times New Roman" w:eastAsia="LiberationSerif-Bold" w:cs="Times New Roman"/>
          <w:sz w:val="28"/>
          <w:szCs w:val="28"/>
          <w:lang w:val="uz-Cyrl-UZ"/>
        </w:rPr>
        <w:t>IRR</w:t>
      </w:r>
      <w:r>
        <w:rPr>
          <w:rFonts w:ascii="Times New Roman" w:hAnsi="Times New Roman" w:cs="Times New Roman"/>
          <w:sz w:val="28"/>
          <w:szCs w:val="28"/>
          <w:lang w:val="uz-Cyrl-UZ"/>
        </w:rPr>
        <w:t xml:space="preserve"> ning yuqori bo’lishi loyihaning qaltisga chidamlilik darajasining ham yuqoriligini ko’rsatadi. Yana </w:t>
      </w:r>
      <w:r>
        <w:rPr>
          <w:rFonts w:ascii="Times New Roman" w:hAnsi="Times New Roman" w:eastAsia="LiberationSerif-Bold" w:cs="Times New Roman"/>
          <w:sz w:val="28"/>
          <w:szCs w:val="28"/>
          <w:lang w:val="uz-Cyrl-UZ"/>
        </w:rPr>
        <w:t>IRR</w:t>
      </w:r>
      <w:r>
        <w:rPr>
          <w:rFonts w:ascii="Times New Roman" w:hAnsi="Times New Roman" w:cs="Times New Roman"/>
          <w:sz w:val="28"/>
          <w:szCs w:val="28"/>
          <w:lang w:val="uz-Cyrl-UZ"/>
        </w:rPr>
        <w:t xml:space="preserve"> ni qaltis uchun mukofot qo’shilgan holdagi diskont stavkasi bilan solishtirganda, </w:t>
      </w:r>
      <w:r>
        <w:rPr>
          <w:rFonts w:ascii="Times New Roman" w:hAnsi="Times New Roman" w:eastAsia="LiberationSerif-Bold" w:cs="Times New Roman"/>
          <w:sz w:val="28"/>
          <w:szCs w:val="28"/>
          <w:lang w:val="uz-Cyrl-UZ"/>
        </w:rPr>
        <w:t>IRR</w:t>
      </w:r>
      <w:r>
        <w:rPr>
          <w:rFonts w:ascii="Times New Roman" w:hAnsi="Times New Roman" w:cs="Times New Roman"/>
          <w:sz w:val="28"/>
          <w:szCs w:val="28"/>
          <w:lang w:val="uz-Cyrl-UZ"/>
        </w:rPr>
        <w:t xml:space="preserve"> katta bo’lsa, bu loyiha ma’qul hisoblanadi.</w:t>
      </w:r>
    </w:p>
    <w:p w14:paraId="358E4A27">
      <w:pPr>
        <w:autoSpaceDE w:val="0"/>
        <w:autoSpaceDN w:val="0"/>
        <w:adjustRightInd w:val="0"/>
        <w:spacing w:after="0" w:line="240" w:lineRule="auto"/>
        <w:jc w:val="both"/>
        <w:rPr>
          <w:rFonts w:ascii="Times New Roman" w:hAnsi="Times New Roman" w:eastAsia="LiberationSerif-Bold" w:cs="Times New Roman"/>
          <w:b/>
          <w:bCs/>
          <w:sz w:val="28"/>
          <w:szCs w:val="28"/>
          <w:lang w:val="uz-Cyrl-UZ"/>
        </w:rPr>
      </w:pPr>
    </w:p>
    <w:p w14:paraId="5E204413">
      <w:pPr>
        <w:autoSpaceDE w:val="0"/>
        <w:autoSpaceDN w:val="0"/>
        <w:adjustRightInd w:val="0"/>
        <w:spacing w:after="0" w:line="240" w:lineRule="auto"/>
        <w:jc w:val="center"/>
        <w:rPr>
          <w:rFonts w:ascii="Times New Roman" w:hAnsi="Times New Roman" w:eastAsia="LiberationSerif-Bold" w:cs="Times New Roman"/>
          <w:b/>
          <w:bCs/>
          <w:sz w:val="28"/>
          <w:szCs w:val="28"/>
          <w:lang w:val="uz-Cyrl-UZ"/>
        </w:rPr>
      </w:pPr>
      <w:r>
        <w:rPr>
          <w:rFonts w:ascii="Times New Roman" w:hAnsi="Times New Roman" w:eastAsia="LiberationSerif-Bold" w:cs="Times New Roman"/>
          <w:b/>
          <w:bCs/>
          <w:sz w:val="28"/>
          <w:szCs w:val="28"/>
          <w:lang w:val="uz-Cyrl-UZ"/>
        </w:rPr>
        <w:t>13.5. Investitsiyalarda qaltislik darajasi</w:t>
      </w:r>
    </w:p>
    <w:p w14:paraId="158CF96C">
      <w:pPr>
        <w:autoSpaceDE w:val="0"/>
        <w:autoSpaceDN w:val="0"/>
        <w:adjustRightInd w:val="0"/>
        <w:spacing w:after="0" w:line="240" w:lineRule="auto"/>
        <w:ind w:firstLine="709"/>
        <w:jc w:val="both"/>
        <w:rPr>
          <w:rFonts w:ascii="Times New Roman" w:hAnsi="Times New Roman" w:cs="Times New Roman"/>
          <w:sz w:val="28"/>
          <w:szCs w:val="28"/>
          <w:lang w:val="uz-Cyrl-UZ"/>
        </w:rPr>
      </w:pPr>
    </w:p>
    <w:p w14:paraId="7A34FA7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Investitsiyalashda qaltis deganda investitsiya daromadlarining ko’zda tutilgan miqdoridan kamayish holati tushuniladi. Daromadlarning o’zgarishi shkalasi qanchalik keng bo’lsa, investitsiyalashda qaltislik darajasi shunchalik yuqori bo’ladi. Investitsiyalashda qaltislik manbaalari bir-biri bilan juda bog’liq bo’lganligi sababli ularning qaysi biri daromadga qanchalik ta’sir etganligini aniqlash juda mushkul. Investitsiyalashda qaltislikning asosiy turlari: ish bilan bog’liq qaltislik, moliyaviy bozor tasodifi xavflari, aholining sotib olish qobiliyati bilan bog’liq bo’lgan moliyaviy xavf, foiz xavfi va boshqalar hisoblanadi.</w:t>
      </w:r>
    </w:p>
    <w:p w14:paraId="72F3E465">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Ish bilan bog’liq qaltislik kelayotgan daromadlarning hamma investorlar bilan hisob-kitob qilishga etishi kafotlanganligidir. Bunday holatda jami daromad investitsiya xarajatlarini qoplay olmaydi. Albatta, davlat (ayrim mamlakatlarda) bunday holatda xarajatlarning ma’lum bir qismini o’z zimmasiga oladi. Asosan bu xavf biznes bilan bog’liq bo’ladi.</w:t>
      </w:r>
    </w:p>
    <w:p w14:paraId="6E45AB36">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Moliyaviy xavf deganda o’z mablag’lari va qarzga olingan mablag’lar kompensatsiyalari natijasida kelib chiqadigan xavf tushuniladi. Investitsiya uchun qanchalik ko’p chetdan qarz jalb etilsa, moliyaviy xavf-xatar shunchalik ko’payadi. Bu xavfning oshishi asosan korxonalar qarz beruvchi investorlar o’z vaqtida foiz to’lovlari to’lashga ilojsizligi oqibatidan kelib chiqadi. Belgilangan, ya’ni vaqti aniq ko’rsatilgan qarzlar yoki qarz foizlari loyiha ishga tushmasdan, daromad hali kelmagan vaqtdan boshlab to’lanishi kerak. Korxonalarning bunday qarzlarni to’lay olish qobiliyati yo’qligi moliyaviy xavfni tug’diradi.</w:t>
      </w:r>
    </w:p>
    <w:p w14:paraId="4B37D171">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Aholini tovarlar sotib olish qobiliyatining pasayishi bilan bog’liq bo’lgan xavf asosan taklif inflyatsiyasi vaqtida bo’ladi. Bu davrda pul birligining xarid qobiliyati pasayadi. </w:t>
      </w:r>
    </w:p>
    <w:p w14:paraId="40FB8F2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Ayrim qimmatbaho qog’ozlar belgilangan vaqtda investorga foyda keltirishni ko’zda tutganligi uchun ayrim hollarda foiz xavfiga ega bo’ladi. Ko’p hollarda qimmatbaho qog’ozlarning kurslari oldingi kurslarga nisbatan o’zgarib turadi. Natijada qimmatbaho qog’ozlar chiqargan kompaniyalar belgilab qo’yilgan foizlarni bera olmaydilar. Bu jarayon qimmatbaho qog’ozlarning bozor baholari tez-tez o’zgarib turishi natijasida vujudga keladi.</w:t>
      </w:r>
    </w:p>
    <w:p w14:paraId="57E6BB8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Likvidlik xavfi korxonalarning aktsiyalarni kerakli vaqtda ko’zda tutilgan summaga sotishga imkoniyati bo’lmay qolishini anglatadi. Agar kecha 1000 dollarga aktsiya sotib olgan bo’lsangiz, bugun uni 800 dollarga sotasiz, bunday aktsiya yuqori likvidli emas.</w:t>
      </w:r>
    </w:p>
    <w:p w14:paraId="295EDF5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Bozor xavfi deganda bu daromadlarni qimmatbaho qog’ozlar kursi o’zgarishi emas, balki iqtisodiy-ijtimoiy voqealardan kelib chiqadigan xavf tushunchalaridir.</w:t>
      </w:r>
    </w:p>
    <w:p w14:paraId="7B9147D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 xml:space="preserve">Masalan, Yaqin Sharqda urush kelib chiqish xavfi qurol-aslaha ishlab chiqarish bilan bog’liq bo’lgan aktsiyalar hamda neft’ mahsulotlari ishlab chiqarishga bog’langan aktsiyalar kursiga ta’sir etadi. Tasodif xavfi to’satdan vujudga keladigan xavf bo’lib, investitsiya natijalariga juda tez ta’sir etadi. </w:t>
      </w:r>
      <w:r>
        <w:rPr>
          <w:rFonts w:ascii="Times New Roman" w:hAnsi="Times New Roman" w:cs="Times New Roman"/>
          <w:sz w:val="28"/>
          <w:szCs w:val="28"/>
          <w:lang w:val="en-US"/>
        </w:rPr>
        <w:t>Bunga ikkita yirik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kompaniyaning bir-biriga qo’shilishi va boshqalar misol bo’la oladi.</w:t>
      </w:r>
    </w:p>
    <w:p w14:paraId="467E9ACA">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Umuman, xavflarni baholashga uch xil yo’nalishda yondoshish mumkin.</w:t>
      </w:r>
      <w:r>
        <w:rPr>
          <w:rFonts w:ascii="Times New Roman" w:hAnsi="Times New Roman" w:cs="Times New Roman"/>
          <w:sz w:val="28"/>
          <w:szCs w:val="28"/>
          <w:lang w:val="uz-Cyrl-UZ"/>
        </w:rPr>
        <w:t xml:space="preserve"> An’anaviy ishlab chiqarishni tubdan o’zgartiradigan yoki uning tuzilmasiga salmoqli o’zgartirish kiritadigan investitsiyalarni joriy etish bilan bog’liq loyihalarni qabul qilishda ayrim hollarda start davrini mukammal tahlil qilmaslik natijasida yaratiladigan mahsulotga etarli xaridor topa olmaslik hollari vujudga kelishi mumkin. Bunda, albatta, mukammal variantlarni chuqur o’rganish kerak.</w:t>
      </w:r>
    </w:p>
    <w:p w14:paraId="1297371B">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Har xil muqobil variantlar mavjud bo’lmagan hollarda oldindan ma’lum tadbirlarni amalga oshirish kerakki, ular xavfni yo’qotishga qaratilgan bo’lsin. Navbatdagi yondashuv asosan oddiy loyihalarni o’z ichiga oladi. Bu loyihalarda ma’lum xavf mavjud: masalan, loyihani vujudga keltirish davrida o’rtacha ko’rsatkichlardan foydalanamiz, lekin keyinchalik bu ko’rsatkichlardan ma’lum chekinish vujudga kelishi mumkin. Mana shu yo’nalishlarni misolda ko’rib chiqamiz.</w:t>
      </w:r>
    </w:p>
    <w:p w14:paraId="3D1C53B8">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Loyihada temir-beton zavodi qurish ko’zda tutilgan deylik. Zavod aholi yashaydigan mikrorayonda bo’lib, u erdan avtotrassa o’tishi ko’zda tutilgan. Zavod qurilishi trassaga yaqin joyda bo’ladi. Zavod qurilishi uchun 5 mlrd. so’m mablag’ ajratilgan. </w:t>
      </w:r>
      <w:r>
        <w:rPr>
          <w:rFonts w:ascii="Times New Roman" w:hAnsi="Times New Roman" w:cs="Times New Roman"/>
          <w:sz w:val="28"/>
          <w:szCs w:val="28"/>
          <w:lang w:val="en-US"/>
        </w:rPr>
        <w:t>Bu zavod ishlab chiqaradigan mahsulot hajmi 2 mlrd. bilan 4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orasida bo’ladi. Loyihaning yashash davri 5 yil, bu vaqtdan so’ng zavod sotib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yuboriladi. Zavodning qoldiq bahosi avtotrassa qurilishi davri bilan bog’liq bo’lib, 1</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mlrd. bilan 3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orasidadir. Agar zavod qurilgandan keyingi birinchi yili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avtotrassa qurilishi haqida qaror qabul qilinmasa uning qoldiq qiymati 3,5 mlrd.so’m.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Diskontning qabul qilingan stavkasi 10% va ikkita variantda mahsulot sotish hajmi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0,5 mlrd yoki 1,5 mlrd.so’m bo’ladi. Buni variantlar bo’yicha aniqlashda quyidagi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formuladan foydalaniladi( 27-formula):</w:t>
      </w:r>
    </w:p>
    <w:p w14:paraId="110F78C7">
      <w:pPr>
        <w:autoSpaceDE w:val="0"/>
        <w:autoSpaceDN w:val="0"/>
        <w:adjustRightInd w:val="0"/>
        <w:spacing w:before="120" w:after="12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NPV</w:t>
      </w:r>
      <w:r>
        <w:rPr>
          <w:rFonts w:ascii="Times New Roman" w:hAnsi="Times New Roman" w:eastAsia="LiberationSerif-Bold" w:cs="Times New Roman"/>
          <w:b/>
          <w:bCs/>
          <w:sz w:val="28"/>
          <w:szCs w:val="28"/>
          <w:lang w:val="uz-Cyrl-UZ"/>
        </w:rPr>
        <w:t xml:space="preserve"> </w:t>
      </w:r>
      <w:r>
        <w:rPr>
          <w:rFonts w:ascii="Times New Roman" w:hAnsi="Times New Roman" w:eastAsia="LiberationSerif-Bold" w:cs="Times New Roman"/>
          <w:sz w:val="28"/>
          <w:szCs w:val="28"/>
          <w:lang w:val="en-US"/>
        </w:rPr>
        <w:t>q</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sz w:val="28"/>
          <w:szCs w:val="28"/>
          <w:lang w:val="uz-Cyrl-UZ"/>
        </w:rPr>
        <w:t xml:space="preserve"> </w:t>
      </w:r>
      <w:r>
        <w:rPr>
          <w:rFonts w:ascii="Times New Roman" w:hAnsi="Times New Roman" w:eastAsia="LiberationSerif-Bold" w:cs="Times New Roman"/>
          <w:sz w:val="28"/>
          <w:szCs w:val="28"/>
          <w:lang w:val="en-US"/>
        </w:rPr>
        <w:t>∑</w:t>
      </w:r>
      <w:r>
        <w:rPr>
          <w:rFonts w:ascii="Times New Roman" w:hAnsi="Times New Roman" w:eastAsia="LiberationSerif-Bold" w:cs="Times New Roman"/>
          <w:b/>
          <w:bCs/>
          <w:sz w:val="28"/>
          <w:szCs w:val="28"/>
          <w:lang w:val="en-US"/>
        </w:rPr>
        <w:t>NP</w:t>
      </w:r>
      <w:r>
        <w:rPr>
          <w:rFonts w:ascii="Times New Roman" w:hAnsi="Times New Roman" w:eastAsia="LiberationSerif-Bold" w:cs="Times New Roman"/>
          <w:b/>
          <w:bCs/>
          <w:sz w:val="16"/>
          <w:szCs w:val="16"/>
          <w:lang w:val="en-US"/>
        </w:rPr>
        <w:t xml:space="preserve">t </w:t>
      </w:r>
      <w:r>
        <w:rPr>
          <w:rFonts w:ascii="Times New Roman" w:hAnsi="Times New Roman" w:eastAsia="LiberationSerif-Bold" w:cs="Times New Roman"/>
          <w:sz w:val="28"/>
          <w:szCs w:val="28"/>
          <w:lang w:val="en-US"/>
        </w:rPr>
        <w:t xml:space="preserve">G’ </w:t>
      </w:r>
      <w:r>
        <w:rPr>
          <w:rFonts w:ascii="Times New Roman" w:hAnsi="Times New Roman" w:eastAsia="LiberationSerif-Bold" w:cs="Times New Roman"/>
          <w:b/>
          <w:bCs/>
          <w:sz w:val="28"/>
          <w:szCs w:val="28"/>
          <w:lang w:val="en-US"/>
        </w:rPr>
        <w:t>(1</w:t>
      </w:r>
      <w:r>
        <w:rPr>
          <w:rFonts w:ascii="Times New Roman" w:hAnsi="Times New Roman" w:eastAsia="LiberationSerif-Bold" w:cs="Times New Roman"/>
          <w:sz w:val="28"/>
          <w:szCs w:val="28"/>
          <w:lang w:val="en-US"/>
        </w:rPr>
        <w:t>Q</w:t>
      </w:r>
      <w:r>
        <w:rPr>
          <w:rFonts w:ascii="Times New Roman" w:hAnsi="Times New Roman" w:eastAsia="LiberationSerif-Bold" w:cs="Times New Roman"/>
          <w:b/>
          <w:bCs/>
          <w:sz w:val="28"/>
          <w:szCs w:val="28"/>
          <w:lang w:val="en-US"/>
        </w:rPr>
        <w:t xml:space="preserve">k) </w:t>
      </w:r>
      <w:r>
        <w:rPr>
          <w:rFonts w:ascii="Times New Roman" w:hAnsi="Times New Roman" w:eastAsia="LiberationSerif-Bold" w:cs="Times New Roman"/>
          <w:sz w:val="28"/>
          <w:szCs w:val="28"/>
          <w:lang w:val="en-US"/>
        </w:rPr>
        <w:t xml:space="preserve">Q </w:t>
      </w:r>
      <w:r>
        <w:rPr>
          <w:rFonts w:ascii="Times New Roman" w:hAnsi="Times New Roman" w:eastAsia="LiberationSerif-Bold" w:cs="Times New Roman"/>
          <w:b/>
          <w:bCs/>
          <w:sz w:val="28"/>
          <w:szCs w:val="28"/>
          <w:lang w:val="en-US"/>
        </w:rPr>
        <w:t xml:space="preserve">RV </w:t>
      </w:r>
      <w:r>
        <w:rPr>
          <w:rFonts w:ascii="Times New Roman" w:hAnsi="Times New Roman" w:eastAsia="LiberationSerif-Bold" w:cs="Times New Roman"/>
          <w:sz w:val="28"/>
          <w:szCs w:val="28"/>
          <w:lang w:val="en-US"/>
        </w:rPr>
        <w:t xml:space="preserve">G’ </w:t>
      </w:r>
      <w:r>
        <w:rPr>
          <w:rFonts w:ascii="Times New Roman" w:hAnsi="Times New Roman" w:eastAsia="LiberationSerif-Bold" w:cs="Times New Roman"/>
          <w:b/>
          <w:bCs/>
          <w:sz w:val="28"/>
          <w:szCs w:val="28"/>
          <w:lang w:val="en-US"/>
        </w:rPr>
        <w:t>(1</w:t>
      </w:r>
      <w:r>
        <w:rPr>
          <w:rFonts w:ascii="Times New Roman" w:hAnsi="Times New Roman" w:eastAsia="LiberationSerif-Bold" w:cs="Times New Roman"/>
          <w:sz w:val="28"/>
          <w:szCs w:val="28"/>
          <w:lang w:val="en-US"/>
        </w:rPr>
        <w:t>Q</w:t>
      </w:r>
      <w:r>
        <w:rPr>
          <w:rFonts w:ascii="Times New Roman" w:hAnsi="Times New Roman" w:eastAsia="LiberationSerif-Bold" w:cs="Times New Roman"/>
          <w:b/>
          <w:bCs/>
          <w:sz w:val="28"/>
          <w:szCs w:val="28"/>
          <w:lang w:val="en-US"/>
        </w:rPr>
        <w:t xml:space="preserve">k) </w:t>
      </w:r>
      <w:r>
        <w:rPr>
          <w:rFonts w:ascii="Times New Roman" w:hAnsi="Times New Roman" w:eastAsia="LiberationSerif-Bold" w:cs="Times New Roman"/>
          <w:sz w:val="28"/>
          <w:szCs w:val="28"/>
          <w:lang w:val="en-US"/>
        </w:rPr>
        <w:t xml:space="preserve">] </w:t>
      </w:r>
      <w:r>
        <w:rPr>
          <w:rFonts w:ascii="Times New Roman" w:hAnsi="Times New Roman" w:eastAsia="LiberationSerif-Bold" w:cs="Times New Roman"/>
          <w:b/>
          <w:bCs/>
          <w:sz w:val="28"/>
          <w:szCs w:val="28"/>
          <w:lang w:val="en-US"/>
        </w:rPr>
        <w:t>- I</w:t>
      </w:r>
    </w:p>
    <w:p w14:paraId="1954F16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Bu erda: </w:t>
      </w:r>
      <w:r>
        <w:rPr>
          <w:rFonts w:ascii="Times New Roman" w:hAnsi="Times New Roman" w:eastAsia="LiberationSerif-Bold" w:cs="Times New Roman"/>
          <w:sz w:val="28"/>
          <w:szCs w:val="28"/>
          <w:lang w:val="en-US"/>
        </w:rPr>
        <w:t>NPt</w:t>
      </w:r>
      <w:r>
        <w:rPr>
          <w:rFonts w:ascii="Times New Roman" w:hAnsi="Times New Roman" w:cs="Times New Roman"/>
          <w:sz w:val="28"/>
          <w:szCs w:val="28"/>
          <w:lang w:val="en-US"/>
        </w:rPr>
        <w:t xml:space="preserve"> - sof foyda va amortizatsiya summasi;</w:t>
      </w:r>
    </w:p>
    <w:p w14:paraId="36B27721">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eastAsia="LiberationSerif-Bold" w:cs="Times New Roman"/>
          <w:sz w:val="28"/>
          <w:szCs w:val="28"/>
          <w:lang w:val="en-US"/>
        </w:rPr>
        <w:t>RV</w:t>
      </w:r>
      <w:r>
        <w:rPr>
          <w:rFonts w:ascii="Times New Roman" w:hAnsi="Times New Roman" w:cs="Times New Roman"/>
          <w:sz w:val="28"/>
          <w:szCs w:val="28"/>
          <w:lang w:val="en-US"/>
        </w:rPr>
        <w:t xml:space="preserve"> - qoldiq qiymat.</w:t>
      </w:r>
    </w:p>
    <w:p w14:paraId="019073B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Qo’yilgan masala bir necha variantda echilishi mumkin.</w:t>
      </w:r>
    </w:p>
    <w:p w14:paraId="7786B54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yo’l qurilishining ikkita varianti (1-qurildi, 0-qurilmadi)</w:t>
      </w:r>
    </w:p>
    <w:p w14:paraId="467C49C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mahsulot hajmining ikkita varianti (2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va 4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w:t>
      </w:r>
    </w:p>
    <w:p w14:paraId="5B4C053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Birinchisining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htimolligi 0,3, ikkinchisiniki </w:t>
      </w:r>
      <w:r>
        <w:rPr>
          <w:rFonts w:ascii="Times New Roman" w:hAnsi="Times New Roman" w:cs="Times New Roman"/>
          <w:sz w:val="28"/>
          <w:szCs w:val="28"/>
          <w:lang w:val="uz-Cyrl-UZ"/>
        </w:rPr>
        <w:t>e</w:t>
      </w:r>
      <w:r>
        <w:rPr>
          <w:rFonts w:ascii="Times New Roman" w:hAnsi="Times New Roman" w:cs="Times New Roman"/>
          <w:sz w:val="28"/>
          <w:szCs w:val="28"/>
          <w:lang w:val="en-US"/>
        </w:rPr>
        <w:t>sa 0,7.</w:t>
      </w:r>
    </w:p>
    <w:p w14:paraId="1CABE7D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zavodni sotishning ikki varianti (1-birinchi yildan keyin yoki 5-besh yildan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keyin).</w:t>
      </w:r>
    </w:p>
    <w:p w14:paraId="0CF5E56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- 5 yildan so’nggi zavodning tugatilish bahosi (1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va 3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w:t>
      </w:r>
    </w:p>
    <w:p w14:paraId="6F812E9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htimolligi mos ravishda 0,4 va 0,6 ni tashkil </w:t>
      </w:r>
      <w:r>
        <w:rPr>
          <w:rFonts w:ascii="Times New Roman" w:hAnsi="Times New Roman" w:cs="Times New Roman"/>
          <w:sz w:val="28"/>
          <w:szCs w:val="28"/>
          <w:lang w:val="uz-Cyrl-UZ"/>
        </w:rPr>
        <w:t>e</w:t>
      </w:r>
      <w:r>
        <w:rPr>
          <w:rFonts w:ascii="Times New Roman" w:hAnsi="Times New Roman" w:cs="Times New Roman"/>
          <w:sz w:val="28"/>
          <w:szCs w:val="28"/>
          <w:lang w:val="en-US"/>
        </w:rPr>
        <w:t>tadi.</w:t>
      </w:r>
    </w:p>
    <w:p w14:paraId="1FA0872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Agar aytaylik, shu variantlarni kombinatsiya qilsak, 720 variant vujudga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keladi. Yo’l qurilishining mavjud holdagi variantlarini 4 raqamli sonlar bilan kodlab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chiqamiz. Kodning har bir pozitsiyasidagi raqam variantning tavsifini bildiradi. 1</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raqami bilan boshlanuvchi barcha kodlar yo’l qurilishini ko’zda tutuvchi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variantlardir. Ma’lum sabablarga ko’ra, 0 raqami bilan boshlanuvchi birgina variant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mavjud. Bu variantga ko’ra, yo’l qurilmaydi va zavod bir yildan so’ng sortilishi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kerak. </w:t>
      </w:r>
      <w:r>
        <w:rPr>
          <w:rFonts w:ascii="Times New Roman" w:hAnsi="Times New Roman" w:cs="Times New Roman"/>
          <w:sz w:val="28"/>
          <w:szCs w:val="28"/>
          <w:lang w:val="uz-Cyrl-UZ"/>
        </w:rPr>
        <w:t>Sh</w:t>
      </w:r>
      <w:r>
        <w:rPr>
          <w:rFonts w:ascii="Times New Roman" w:hAnsi="Times New Roman" w:cs="Times New Roman"/>
          <w:sz w:val="28"/>
          <w:szCs w:val="28"/>
          <w:lang w:val="en-US"/>
        </w:rPr>
        <w:t xml:space="preserve">u sabablarga ko’ra, quyida yo’l qurilishi bilan bog’liq </w:t>
      </w:r>
      <w:r>
        <w:rPr>
          <w:rFonts w:ascii="Times New Roman" w:hAnsi="Times New Roman" w:cs="Times New Roman"/>
          <w:sz w:val="28"/>
          <w:szCs w:val="28"/>
          <w:lang w:val="uz-Cyrl-UZ"/>
        </w:rPr>
        <w:t>olti</w:t>
      </w:r>
      <w:r>
        <w:rPr>
          <w:rFonts w:ascii="Times New Roman" w:hAnsi="Times New Roman" w:cs="Times New Roman"/>
          <w:sz w:val="28"/>
          <w:szCs w:val="28"/>
          <w:lang w:val="en-US"/>
        </w:rPr>
        <w:t xml:space="preserve"> variant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ko’rsatilgan:</w:t>
      </w:r>
    </w:p>
    <w:p w14:paraId="4A8D184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1210 - mahsulot sotish hajmi 2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 zavod birinchi yildan so’ng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sotiladi.</w:t>
      </w:r>
    </w:p>
    <w:p w14:paraId="5F482D5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1251 - mahsulot sotish hajmi 2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 zavod 5 yildan keyin sotiladi,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qoldiq bahosi 1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w:t>
      </w:r>
    </w:p>
    <w:p w14:paraId="6078311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1253 - mahsulot sotish hajmi 2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 zavod 5 yilda so’ng sotiladi,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qoldiq bahosi 3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w:t>
      </w:r>
    </w:p>
    <w:p w14:paraId="6303692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 1410 - mahsulot sotish hajmi 4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 zavod birinchi yili sotib</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yuboriladi.</w:t>
      </w:r>
    </w:p>
    <w:p w14:paraId="5788D5C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 1451 - mahsulot sotish hajmi 4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 zavod besh yildan keyin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sotiladi, qoldiq bahosi 1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w:t>
      </w:r>
    </w:p>
    <w:p w14:paraId="48FE9CF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 1453 - mahsulot sotish hajmi 4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 - zavod 5 yildan keyin sotiladi,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qoldiq bahosi 3 mlrd.</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so’m.</w:t>
      </w:r>
    </w:p>
    <w:p w14:paraId="66C1834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Har bir variantni baholash uchun sof joriy qiymat formulasidan foydalanamiz.</w:t>
      </w:r>
    </w:p>
    <w:p w14:paraId="3C37A54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Shunga o’xshash boshqa </w:t>
      </w:r>
      <w:r>
        <w:rPr>
          <w:rFonts w:ascii="Times New Roman" w:hAnsi="Times New Roman" w:cs="Times New Roman"/>
          <w:sz w:val="28"/>
          <w:szCs w:val="28"/>
          <w:lang w:val="uz-Cyrl-UZ"/>
        </w:rPr>
        <w:t>olti</w:t>
      </w:r>
      <w:r>
        <w:rPr>
          <w:rFonts w:ascii="Times New Roman" w:hAnsi="Times New Roman" w:cs="Times New Roman"/>
          <w:sz w:val="28"/>
          <w:szCs w:val="28"/>
          <w:lang w:val="en-US"/>
        </w:rPr>
        <w:t xml:space="preserve"> variant uchun ham sof keltirilgan qiymat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hisoblanadi.</w:t>
      </w:r>
    </w:p>
    <w:p w14:paraId="6CEEA780">
      <w:pPr>
        <w:autoSpaceDE w:val="0"/>
        <w:autoSpaceDN w:val="0"/>
        <w:adjustRightInd w:val="0"/>
        <w:spacing w:before="120" w:after="12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Loyihani amalga oshirish variantlari bo’yicha ma’lumotlar</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190"/>
        <w:gridCol w:w="3190"/>
        <w:gridCol w:w="3191"/>
      </w:tblGrid>
      <w:tr w14:paraId="4EC3CD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0" w:type="dxa"/>
            <w:vAlign w:val="center"/>
          </w:tcPr>
          <w:p w14:paraId="0DEE5616">
            <w:pPr>
              <w:autoSpaceDE w:val="0"/>
              <w:autoSpaceDN w:val="0"/>
              <w:adjustRightInd w:val="0"/>
              <w:spacing w:after="0" w:line="240" w:lineRule="auto"/>
              <w:jc w:val="center"/>
              <w:rPr>
                <w:rFonts w:ascii="Times New Roman" w:hAnsi="Times New Roman" w:cs="Times New Roman"/>
                <w:b/>
                <w:sz w:val="24"/>
                <w:szCs w:val="24"/>
                <w:lang w:val="uz-Cyrl-UZ"/>
              </w:rPr>
            </w:pPr>
            <w:r>
              <w:rPr>
                <w:rFonts w:ascii="Times New Roman" w:hAnsi="Times New Roman" w:cs="Times New Roman"/>
                <w:b/>
                <w:sz w:val="24"/>
                <w:szCs w:val="24"/>
              </w:rPr>
              <w:t>Variantlar</w:t>
            </w:r>
            <w:r>
              <w:rPr>
                <w:rFonts w:ascii="Times New Roman" w:hAnsi="Times New Roman" w:cs="Times New Roman"/>
                <w:b/>
                <w:sz w:val="24"/>
                <w:szCs w:val="24"/>
                <w:lang w:val="uz-Cyrl-UZ"/>
              </w:rPr>
              <w:t xml:space="preserve"> </w:t>
            </w:r>
            <w:r>
              <w:rPr>
                <w:rFonts w:ascii="Times New Roman" w:hAnsi="Times New Roman" w:cs="Times New Roman"/>
                <w:b/>
                <w:sz w:val="24"/>
                <w:szCs w:val="24"/>
              </w:rPr>
              <w:t>kodi</w:t>
            </w:r>
          </w:p>
        </w:tc>
        <w:tc>
          <w:tcPr>
            <w:tcW w:w="3190" w:type="dxa"/>
            <w:vAlign w:val="center"/>
          </w:tcPr>
          <w:p w14:paraId="1E531259">
            <w:pPr>
              <w:autoSpaceDE w:val="0"/>
              <w:autoSpaceDN w:val="0"/>
              <w:adjustRightInd w:val="0"/>
              <w:spacing w:after="0" w:line="240" w:lineRule="auto"/>
              <w:jc w:val="center"/>
              <w:rPr>
                <w:rFonts w:ascii="Times New Roman" w:hAnsi="Times New Roman" w:cs="Times New Roman"/>
                <w:b/>
                <w:sz w:val="24"/>
                <w:szCs w:val="24"/>
                <w:lang w:val="uz-Cyrl-UZ"/>
              </w:rPr>
            </w:pPr>
            <w:r>
              <w:rPr>
                <w:rFonts w:ascii="Times New Roman" w:hAnsi="Times New Roman" w:cs="Times New Roman"/>
                <w:b/>
                <w:sz w:val="24"/>
                <w:szCs w:val="24"/>
              </w:rPr>
              <w:t>Sof joriy</w:t>
            </w:r>
            <w:r>
              <w:rPr>
                <w:rFonts w:ascii="Times New Roman" w:hAnsi="Times New Roman" w:cs="Times New Roman"/>
                <w:b/>
                <w:sz w:val="24"/>
                <w:szCs w:val="24"/>
                <w:lang w:val="uz-Cyrl-UZ"/>
              </w:rPr>
              <w:t xml:space="preserve"> </w:t>
            </w:r>
            <w:r>
              <w:rPr>
                <w:rFonts w:ascii="Times New Roman" w:hAnsi="Times New Roman" w:cs="Times New Roman"/>
                <w:b/>
                <w:sz w:val="24"/>
                <w:szCs w:val="24"/>
              </w:rPr>
              <w:t>qiymat</w:t>
            </w:r>
          </w:p>
        </w:tc>
        <w:tc>
          <w:tcPr>
            <w:tcW w:w="3191" w:type="dxa"/>
            <w:vAlign w:val="center"/>
          </w:tcPr>
          <w:p w14:paraId="5FAA892A">
            <w:pPr>
              <w:autoSpaceDE w:val="0"/>
              <w:autoSpaceDN w:val="0"/>
              <w:adjustRightInd w:val="0"/>
              <w:spacing w:after="0" w:line="240" w:lineRule="auto"/>
              <w:jc w:val="center"/>
              <w:rPr>
                <w:rFonts w:ascii="Times New Roman" w:hAnsi="Times New Roman" w:cs="Times New Roman"/>
                <w:b/>
                <w:sz w:val="24"/>
                <w:szCs w:val="24"/>
                <w:lang w:val="uz-Cyrl-UZ"/>
              </w:rPr>
            </w:pPr>
            <w:r>
              <w:rPr>
                <w:rFonts w:ascii="Times New Roman" w:hAnsi="Times New Roman" w:cs="Times New Roman"/>
                <w:b/>
                <w:sz w:val="24"/>
                <w:szCs w:val="24"/>
                <w:lang w:val="uz-Cyrl-UZ"/>
              </w:rPr>
              <w:t>E</w:t>
            </w:r>
            <w:r>
              <w:rPr>
                <w:rFonts w:ascii="Times New Roman" w:hAnsi="Times New Roman" w:cs="Times New Roman"/>
                <w:b/>
                <w:sz w:val="24"/>
                <w:szCs w:val="24"/>
              </w:rPr>
              <w:t>htimollik</w:t>
            </w:r>
          </w:p>
        </w:tc>
      </w:tr>
      <w:tr w14:paraId="1C4BF5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0" w:type="dxa"/>
            <w:vAlign w:val="center"/>
          </w:tcPr>
          <w:p w14:paraId="0A574AD2">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1210</w:t>
            </w:r>
          </w:p>
        </w:tc>
        <w:tc>
          <w:tcPr>
            <w:tcW w:w="3190" w:type="dxa"/>
            <w:vAlign w:val="center"/>
          </w:tcPr>
          <w:p w14:paraId="2A8555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- 1,364</w:t>
            </w:r>
          </w:p>
        </w:tc>
        <w:tc>
          <w:tcPr>
            <w:tcW w:w="3191" w:type="dxa"/>
            <w:vAlign w:val="center"/>
          </w:tcPr>
          <w:p w14:paraId="641DDF8D">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0,3</w:t>
            </w:r>
          </w:p>
        </w:tc>
      </w:tr>
      <w:tr w14:paraId="3F63A4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0" w:type="dxa"/>
            <w:vAlign w:val="center"/>
          </w:tcPr>
          <w:p w14:paraId="20098B56">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1251</w:t>
            </w:r>
          </w:p>
        </w:tc>
        <w:tc>
          <w:tcPr>
            <w:tcW w:w="3190" w:type="dxa"/>
            <w:vAlign w:val="center"/>
          </w:tcPr>
          <w:p w14:paraId="35FFE162">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-2,486</w:t>
            </w:r>
          </w:p>
        </w:tc>
        <w:tc>
          <w:tcPr>
            <w:tcW w:w="3191" w:type="dxa"/>
            <w:vAlign w:val="center"/>
          </w:tcPr>
          <w:p w14:paraId="7A40F708">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w:t>
            </w:r>
          </w:p>
        </w:tc>
      </w:tr>
      <w:tr w14:paraId="1666BF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0" w:type="dxa"/>
            <w:vAlign w:val="center"/>
          </w:tcPr>
          <w:p w14:paraId="29F407C3">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1253</w:t>
            </w:r>
          </w:p>
        </w:tc>
        <w:tc>
          <w:tcPr>
            <w:tcW w:w="3190" w:type="dxa"/>
            <w:vAlign w:val="center"/>
          </w:tcPr>
          <w:p w14:paraId="714B1637">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-1,245</w:t>
            </w:r>
          </w:p>
        </w:tc>
        <w:tc>
          <w:tcPr>
            <w:tcW w:w="3191" w:type="dxa"/>
            <w:vAlign w:val="center"/>
          </w:tcPr>
          <w:p w14:paraId="1061D963">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w:t>
            </w:r>
          </w:p>
        </w:tc>
      </w:tr>
      <w:tr w14:paraId="32178E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0" w:type="dxa"/>
            <w:vAlign w:val="center"/>
          </w:tcPr>
          <w:p w14:paraId="2C7F3FE0">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1410</w:t>
            </w:r>
          </w:p>
        </w:tc>
        <w:tc>
          <w:tcPr>
            <w:tcW w:w="3190" w:type="dxa"/>
            <w:vAlign w:val="center"/>
          </w:tcPr>
          <w:p w14:paraId="6BD6A830">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-0,454</w:t>
            </w:r>
          </w:p>
        </w:tc>
        <w:tc>
          <w:tcPr>
            <w:tcW w:w="3191" w:type="dxa"/>
            <w:vAlign w:val="center"/>
          </w:tcPr>
          <w:p w14:paraId="77941E07">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w:t>
            </w:r>
          </w:p>
        </w:tc>
      </w:tr>
      <w:tr w14:paraId="2333A3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0" w:type="dxa"/>
            <w:vAlign w:val="center"/>
          </w:tcPr>
          <w:p w14:paraId="5CF26B8A">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1451</w:t>
            </w:r>
          </w:p>
        </w:tc>
        <w:tc>
          <w:tcPr>
            <w:tcW w:w="3190" w:type="dxa"/>
            <w:vAlign w:val="center"/>
          </w:tcPr>
          <w:p w14:paraId="38F5E950">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1,307</w:t>
            </w:r>
          </w:p>
        </w:tc>
        <w:tc>
          <w:tcPr>
            <w:tcW w:w="3191" w:type="dxa"/>
            <w:vAlign w:val="center"/>
          </w:tcPr>
          <w:p w14:paraId="0042E590">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0,28</w:t>
            </w:r>
          </w:p>
        </w:tc>
      </w:tr>
      <w:tr w14:paraId="54A2AB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0" w:type="dxa"/>
            <w:vAlign w:val="center"/>
          </w:tcPr>
          <w:p w14:paraId="6897B03E">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1453</w:t>
            </w:r>
          </w:p>
        </w:tc>
        <w:tc>
          <w:tcPr>
            <w:tcW w:w="3190" w:type="dxa"/>
            <w:vAlign w:val="center"/>
          </w:tcPr>
          <w:p w14:paraId="34237933">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2,546</w:t>
            </w:r>
          </w:p>
        </w:tc>
        <w:tc>
          <w:tcPr>
            <w:tcW w:w="3191" w:type="dxa"/>
            <w:vAlign w:val="center"/>
          </w:tcPr>
          <w:p w14:paraId="398812E9">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0,42</w:t>
            </w:r>
          </w:p>
        </w:tc>
      </w:tr>
      <w:tr w14:paraId="4EA62D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90" w:type="dxa"/>
            <w:vAlign w:val="center"/>
          </w:tcPr>
          <w:p w14:paraId="4231A307">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w:t>
            </w:r>
          </w:p>
        </w:tc>
        <w:tc>
          <w:tcPr>
            <w:tcW w:w="3190" w:type="dxa"/>
            <w:vAlign w:val="center"/>
          </w:tcPr>
          <w:p w14:paraId="4EAEE5F0">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w:t>
            </w:r>
          </w:p>
        </w:tc>
        <w:tc>
          <w:tcPr>
            <w:tcW w:w="3191" w:type="dxa"/>
            <w:vAlign w:val="center"/>
          </w:tcPr>
          <w:p w14:paraId="659C6619">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w:t>
            </w:r>
          </w:p>
        </w:tc>
      </w:tr>
    </w:tbl>
    <w:p w14:paraId="5905DE89">
      <w:pPr>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1251- variant bo’yicha sof joriy qiymat hisob-kitobi</w:t>
      </w:r>
    </w:p>
    <w:p w14:paraId="7BE7E615">
      <w:pPr>
        <w:autoSpaceDE w:val="0"/>
        <w:autoSpaceDN w:val="0"/>
        <w:adjustRightInd w:val="0"/>
        <w:spacing w:after="0" w:line="240" w:lineRule="auto"/>
        <w:jc w:val="both"/>
        <w:rPr>
          <w:rFonts w:ascii="Times New Roman" w:hAnsi="Times New Roman" w:cs="Times New Roman"/>
          <w:sz w:val="24"/>
          <w:szCs w:val="24"/>
          <w:lang w:val="en-US"/>
        </w:rPr>
      </w:pP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361"/>
        <w:gridCol w:w="898"/>
        <w:gridCol w:w="850"/>
        <w:gridCol w:w="851"/>
        <w:gridCol w:w="850"/>
        <w:gridCol w:w="851"/>
        <w:gridCol w:w="910"/>
      </w:tblGrid>
      <w:tr w14:paraId="017164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61" w:type="dxa"/>
            <w:vAlign w:val="center"/>
          </w:tcPr>
          <w:p w14:paraId="3379F3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Ko’rsatkichlar</w:t>
            </w:r>
          </w:p>
        </w:tc>
        <w:tc>
          <w:tcPr>
            <w:tcW w:w="898" w:type="dxa"/>
            <w:vAlign w:val="center"/>
          </w:tcPr>
          <w:p w14:paraId="57F265D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1-yil</w:t>
            </w:r>
          </w:p>
        </w:tc>
        <w:tc>
          <w:tcPr>
            <w:tcW w:w="850" w:type="dxa"/>
            <w:vAlign w:val="center"/>
          </w:tcPr>
          <w:p w14:paraId="7A8AE31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2-yil</w:t>
            </w:r>
          </w:p>
        </w:tc>
        <w:tc>
          <w:tcPr>
            <w:tcW w:w="851" w:type="dxa"/>
            <w:vAlign w:val="center"/>
          </w:tcPr>
          <w:p w14:paraId="6EB1E69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3-yil</w:t>
            </w:r>
          </w:p>
        </w:tc>
        <w:tc>
          <w:tcPr>
            <w:tcW w:w="850" w:type="dxa"/>
            <w:vAlign w:val="center"/>
          </w:tcPr>
          <w:p w14:paraId="25E6E60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4-yil</w:t>
            </w:r>
          </w:p>
        </w:tc>
        <w:tc>
          <w:tcPr>
            <w:tcW w:w="851" w:type="dxa"/>
            <w:vAlign w:val="center"/>
          </w:tcPr>
          <w:p w14:paraId="6F76639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5-yil</w:t>
            </w:r>
          </w:p>
        </w:tc>
        <w:tc>
          <w:tcPr>
            <w:tcW w:w="910" w:type="dxa"/>
            <w:vAlign w:val="center"/>
          </w:tcPr>
          <w:p w14:paraId="1521249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Jami</w:t>
            </w:r>
          </w:p>
        </w:tc>
      </w:tr>
      <w:tr w14:paraId="3210F7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61" w:type="dxa"/>
            <w:vAlign w:val="center"/>
          </w:tcPr>
          <w:p w14:paraId="611B31C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Foyda</w:t>
            </w:r>
          </w:p>
        </w:tc>
        <w:tc>
          <w:tcPr>
            <w:tcW w:w="898" w:type="dxa"/>
            <w:vAlign w:val="center"/>
          </w:tcPr>
          <w:p w14:paraId="1D7AE57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850" w:type="dxa"/>
            <w:vAlign w:val="center"/>
          </w:tcPr>
          <w:p w14:paraId="12AA206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851" w:type="dxa"/>
            <w:vAlign w:val="center"/>
          </w:tcPr>
          <w:p w14:paraId="04F6D94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850" w:type="dxa"/>
            <w:vAlign w:val="center"/>
          </w:tcPr>
          <w:p w14:paraId="3CC857B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851" w:type="dxa"/>
            <w:vAlign w:val="center"/>
          </w:tcPr>
          <w:p w14:paraId="04B8BE8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w:t>
            </w:r>
          </w:p>
        </w:tc>
        <w:tc>
          <w:tcPr>
            <w:tcW w:w="910" w:type="dxa"/>
            <w:vAlign w:val="center"/>
          </w:tcPr>
          <w:p w14:paraId="729F19C5">
            <w:pPr>
              <w:autoSpaceDE w:val="0"/>
              <w:autoSpaceDN w:val="0"/>
              <w:adjustRightInd w:val="0"/>
              <w:spacing w:after="0" w:line="240" w:lineRule="auto"/>
              <w:jc w:val="center"/>
              <w:rPr>
                <w:rFonts w:ascii="Times New Roman" w:hAnsi="Times New Roman" w:cs="Times New Roman"/>
                <w:sz w:val="24"/>
                <w:szCs w:val="24"/>
              </w:rPr>
            </w:pPr>
          </w:p>
        </w:tc>
      </w:tr>
      <w:tr w14:paraId="44087F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61" w:type="dxa"/>
            <w:vAlign w:val="center"/>
          </w:tcPr>
          <w:p w14:paraId="7ECCFE4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2.Qoldiq qiymati</w:t>
            </w:r>
          </w:p>
        </w:tc>
        <w:tc>
          <w:tcPr>
            <w:tcW w:w="898" w:type="dxa"/>
            <w:vAlign w:val="center"/>
          </w:tcPr>
          <w:p w14:paraId="61532B7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850" w:type="dxa"/>
            <w:vAlign w:val="center"/>
          </w:tcPr>
          <w:p w14:paraId="359FAB6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14:paraId="3267202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850" w:type="dxa"/>
            <w:vAlign w:val="center"/>
          </w:tcPr>
          <w:p w14:paraId="791E294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851" w:type="dxa"/>
            <w:vAlign w:val="center"/>
          </w:tcPr>
          <w:p w14:paraId="2592143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910" w:type="dxa"/>
            <w:vAlign w:val="center"/>
          </w:tcPr>
          <w:p w14:paraId="7F27304D">
            <w:pPr>
              <w:autoSpaceDE w:val="0"/>
              <w:autoSpaceDN w:val="0"/>
              <w:adjustRightInd w:val="0"/>
              <w:spacing w:after="0" w:line="240" w:lineRule="auto"/>
              <w:jc w:val="center"/>
              <w:rPr>
                <w:rFonts w:ascii="Times New Roman" w:hAnsi="Times New Roman" w:cs="Times New Roman"/>
                <w:sz w:val="24"/>
                <w:szCs w:val="24"/>
              </w:rPr>
            </w:pPr>
          </w:p>
        </w:tc>
      </w:tr>
      <w:tr w14:paraId="75A7C3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61" w:type="dxa"/>
            <w:vAlign w:val="center"/>
          </w:tcPr>
          <w:p w14:paraId="649DF2F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3.Diskont koeffitsienti</w:t>
            </w:r>
          </w:p>
        </w:tc>
        <w:tc>
          <w:tcPr>
            <w:tcW w:w="898" w:type="dxa"/>
            <w:vAlign w:val="center"/>
          </w:tcPr>
          <w:p w14:paraId="78E61A0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850" w:type="dxa"/>
            <w:vAlign w:val="center"/>
          </w:tcPr>
          <w:p w14:paraId="6EC00CE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851" w:type="dxa"/>
            <w:vAlign w:val="center"/>
          </w:tcPr>
          <w:p w14:paraId="70AD18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1,331</w:t>
            </w:r>
          </w:p>
        </w:tc>
        <w:tc>
          <w:tcPr>
            <w:tcW w:w="850" w:type="dxa"/>
            <w:vAlign w:val="center"/>
          </w:tcPr>
          <w:p w14:paraId="786DCD4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1,464</w:t>
            </w:r>
          </w:p>
        </w:tc>
        <w:tc>
          <w:tcPr>
            <w:tcW w:w="851" w:type="dxa"/>
            <w:vAlign w:val="center"/>
          </w:tcPr>
          <w:p w14:paraId="7872916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1,61</w:t>
            </w:r>
          </w:p>
        </w:tc>
        <w:tc>
          <w:tcPr>
            <w:tcW w:w="910" w:type="dxa"/>
            <w:vAlign w:val="center"/>
          </w:tcPr>
          <w:p w14:paraId="4B61A932">
            <w:pPr>
              <w:autoSpaceDE w:val="0"/>
              <w:autoSpaceDN w:val="0"/>
              <w:adjustRightInd w:val="0"/>
              <w:spacing w:after="0" w:line="240" w:lineRule="auto"/>
              <w:jc w:val="center"/>
              <w:rPr>
                <w:rFonts w:ascii="Times New Roman" w:hAnsi="Times New Roman" w:cs="Times New Roman"/>
                <w:sz w:val="24"/>
                <w:szCs w:val="24"/>
              </w:rPr>
            </w:pPr>
          </w:p>
        </w:tc>
      </w:tr>
      <w:tr w14:paraId="64224B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61" w:type="dxa"/>
            <w:vAlign w:val="center"/>
          </w:tcPr>
          <w:p w14:paraId="46D8C82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Sof foyda</w:t>
            </w:r>
          </w:p>
        </w:tc>
        <w:tc>
          <w:tcPr>
            <w:tcW w:w="898" w:type="dxa"/>
            <w:vAlign w:val="center"/>
          </w:tcPr>
          <w:p w14:paraId="2B66F5E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0,454</w:t>
            </w:r>
          </w:p>
        </w:tc>
        <w:tc>
          <w:tcPr>
            <w:tcW w:w="850" w:type="dxa"/>
            <w:vAlign w:val="center"/>
          </w:tcPr>
          <w:p w14:paraId="3BDD5CE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0,413</w:t>
            </w:r>
          </w:p>
        </w:tc>
        <w:tc>
          <w:tcPr>
            <w:tcW w:w="851" w:type="dxa"/>
            <w:vAlign w:val="center"/>
          </w:tcPr>
          <w:p w14:paraId="0320B0C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0,375</w:t>
            </w:r>
          </w:p>
        </w:tc>
        <w:tc>
          <w:tcPr>
            <w:tcW w:w="850" w:type="dxa"/>
            <w:vAlign w:val="center"/>
          </w:tcPr>
          <w:p w14:paraId="3687DE9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1,341</w:t>
            </w:r>
          </w:p>
        </w:tc>
        <w:tc>
          <w:tcPr>
            <w:tcW w:w="851" w:type="dxa"/>
            <w:vAlign w:val="center"/>
          </w:tcPr>
          <w:p w14:paraId="08C50D9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0,310</w:t>
            </w:r>
          </w:p>
        </w:tc>
        <w:tc>
          <w:tcPr>
            <w:tcW w:w="910" w:type="dxa"/>
            <w:vAlign w:val="center"/>
          </w:tcPr>
          <w:p w14:paraId="705FA64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1,893</w:t>
            </w:r>
          </w:p>
        </w:tc>
      </w:tr>
      <w:tr w14:paraId="25EA71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61" w:type="dxa"/>
            <w:vAlign w:val="center"/>
          </w:tcPr>
          <w:p w14:paraId="221A013B">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 Keltirilgan qoldiq summa</w:t>
            </w:r>
          </w:p>
          <w:p w14:paraId="4EB930A0">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 1(1Q0,10)</w:t>
            </w:r>
          </w:p>
        </w:tc>
        <w:tc>
          <w:tcPr>
            <w:tcW w:w="898" w:type="dxa"/>
            <w:vAlign w:val="center"/>
          </w:tcPr>
          <w:p w14:paraId="70D22F4D">
            <w:pPr>
              <w:autoSpaceDE w:val="0"/>
              <w:autoSpaceDN w:val="0"/>
              <w:adjustRightInd w:val="0"/>
              <w:spacing w:after="0" w:line="240" w:lineRule="auto"/>
              <w:jc w:val="center"/>
              <w:rPr>
                <w:rFonts w:ascii="Times New Roman" w:hAnsi="Times New Roman" w:cs="Times New Roman"/>
                <w:sz w:val="24"/>
                <w:szCs w:val="24"/>
                <w:lang w:val="en-US"/>
              </w:rPr>
            </w:pPr>
          </w:p>
        </w:tc>
        <w:tc>
          <w:tcPr>
            <w:tcW w:w="850" w:type="dxa"/>
            <w:vAlign w:val="center"/>
          </w:tcPr>
          <w:p w14:paraId="02034BA6">
            <w:pPr>
              <w:autoSpaceDE w:val="0"/>
              <w:autoSpaceDN w:val="0"/>
              <w:adjustRightInd w:val="0"/>
              <w:spacing w:after="0" w:line="240" w:lineRule="auto"/>
              <w:jc w:val="center"/>
              <w:rPr>
                <w:rFonts w:ascii="Times New Roman" w:hAnsi="Times New Roman" w:cs="Times New Roman"/>
                <w:sz w:val="24"/>
                <w:szCs w:val="24"/>
                <w:lang w:val="en-US"/>
              </w:rPr>
            </w:pPr>
          </w:p>
        </w:tc>
        <w:tc>
          <w:tcPr>
            <w:tcW w:w="851" w:type="dxa"/>
            <w:vAlign w:val="center"/>
          </w:tcPr>
          <w:p w14:paraId="2D566448">
            <w:pPr>
              <w:autoSpaceDE w:val="0"/>
              <w:autoSpaceDN w:val="0"/>
              <w:adjustRightInd w:val="0"/>
              <w:spacing w:after="0" w:line="240" w:lineRule="auto"/>
              <w:jc w:val="center"/>
              <w:rPr>
                <w:rFonts w:ascii="Times New Roman" w:hAnsi="Times New Roman" w:cs="Times New Roman"/>
                <w:sz w:val="24"/>
                <w:szCs w:val="24"/>
                <w:lang w:val="en-US"/>
              </w:rPr>
            </w:pPr>
          </w:p>
        </w:tc>
        <w:tc>
          <w:tcPr>
            <w:tcW w:w="850" w:type="dxa"/>
            <w:vAlign w:val="center"/>
          </w:tcPr>
          <w:p w14:paraId="0CA41E6B">
            <w:pPr>
              <w:autoSpaceDE w:val="0"/>
              <w:autoSpaceDN w:val="0"/>
              <w:adjustRightInd w:val="0"/>
              <w:spacing w:after="0" w:line="240" w:lineRule="auto"/>
              <w:jc w:val="center"/>
              <w:rPr>
                <w:rFonts w:ascii="Times New Roman" w:hAnsi="Times New Roman" w:cs="Times New Roman"/>
                <w:sz w:val="24"/>
                <w:szCs w:val="24"/>
                <w:lang w:val="en-US"/>
              </w:rPr>
            </w:pPr>
          </w:p>
        </w:tc>
        <w:tc>
          <w:tcPr>
            <w:tcW w:w="851" w:type="dxa"/>
            <w:vAlign w:val="center"/>
          </w:tcPr>
          <w:p w14:paraId="4EEBB62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0,621</w:t>
            </w:r>
          </w:p>
        </w:tc>
        <w:tc>
          <w:tcPr>
            <w:tcW w:w="910" w:type="dxa"/>
            <w:vAlign w:val="center"/>
          </w:tcPr>
          <w:p w14:paraId="6F02366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0,621</w:t>
            </w:r>
          </w:p>
        </w:tc>
      </w:tr>
      <w:tr w14:paraId="4A2053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61" w:type="dxa"/>
            <w:vAlign w:val="center"/>
          </w:tcPr>
          <w:p w14:paraId="30BC353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6.Keltirilgan summa</w:t>
            </w:r>
          </w:p>
        </w:tc>
        <w:tc>
          <w:tcPr>
            <w:tcW w:w="898" w:type="dxa"/>
            <w:vAlign w:val="center"/>
          </w:tcPr>
          <w:p w14:paraId="33104D0C">
            <w:pPr>
              <w:autoSpaceDE w:val="0"/>
              <w:autoSpaceDN w:val="0"/>
              <w:adjustRightInd w:val="0"/>
              <w:spacing w:after="0" w:line="240" w:lineRule="auto"/>
              <w:jc w:val="center"/>
              <w:rPr>
                <w:rFonts w:ascii="Times New Roman" w:hAnsi="Times New Roman" w:cs="Times New Roman"/>
                <w:sz w:val="24"/>
                <w:szCs w:val="24"/>
              </w:rPr>
            </w:pPr>
          </w:p>
        </w:tc>
        <w:tc>
          <w:tcPr>
            <w:tcW w:w="850" w:type="dxa"/>
            <w:vAlign w:val="center"/>
          </w:tcPr>
          <w:p w14:paraId="7E2590D0">
            <w:pPr>
              <w:autoSpaceDE w:val="0"/>
              <w:autoSpaceDN w:val="0"/>
              <w:adjustRightInd w:val="0"/>
              <w:spacing w:after="0" w:line="240" w:lineRule="auto"/>
              <w:jc w:val="center"/>
              <w:rPr>
                <w:rFonts w:ascii="Times New Roman" w:hAnsi="Times New Roman" w:cs="Times New Roman"/>
                <w:sz w:val="24"/>
                <w:szCs w:val="24"/>
              </w:rPr>
            </w:pPr>
          </w:p>
        </w:tc>
        <w:tc>
          <w:tcPr>
            <w:tcW w:w="851" w:type="dxa"/>
            <w:vAlign w:val="center"/>
          </w:tcPr>
          <w:p w14:paraId="0150422B">
            <w:pPr>
              <w:autoSpaceDE w:val="0"/>
              <w:autoSpaceDN w:val="0"/>
              <w:adjustRightInd w:val="0"/>
              <w:spacing w:after="0" w:line="240" w:lineRule="auto"/>
              <w:jc w:val="center"/>
              <w:rPr>
                <w:rFonts w:ascii="Times New Roman" w:hAnsi="Times New Roman" w:cs="Times New Roman"/>
                <w:sz w:val="24"/>
                <w:szCs w:val="24"/>
              </w:rPr>
            </w:pPr>
          </w:p>
        </w:tc>
        <w:tc>
          <w:tcPr>
            <w:tcW w:w="850" w:type="dxa"/>
            <w:vAlign w:val="center"/>
          </w:tcPr>
          <w:p w14:paraId="52083FC9">
            <w:pPr>
              <w:autoSpaceDE w:val="0"/>
              <w:autoSpaceDN w:val="0"/>
              <w:adjustRightInd w:val="0"/>
              <w:spacing w:after="0" w:line="240" w:lineRule="auto"/>
              <w:jc w:val="center"/>
              <w:rPr>
                <w:rFonts w:ascii="Times New Roman" w:hAnsi="Times New Roman" w:cs="Times New Roman"/>
                <w:sz w:val="24"/>
                <w:szCs w:val="24"/>
              </w:rPr>
            </w:pPr>
          </w:p>
        </w:tc>
        <w:tc>
          <w:tcPr>
            <w:tcW w:w="851" w:type="dxa"/>
            <w:vAlign w:val="center"/>
          </w:tcPr>
          <w:p w14:paraId="7B61E93A">
            <w:pPr>
              <w:autoSpaceDE w:val="0"/>
              <w:autoSpaceDN w:val="0"/>
              <w:adjustRightInd w:val="0"/>
              <w:spacing w:after="0" w:line="240" w:lineRule="auto"/>
              <w:jc w:val="center"/>
              <w:rPr>
                <w:rFonts w:ascii="Times New Roman" w:hAnsi="Times New Roman" w:cs="Times New Roman"/>
                <w:sz w:val="24"/>
                <w:szCs w:val="24"/>
              </w:rPr>
            </w:pPr>
          </w:p>
        </w:tc>
        <w:tc>
          <w:tcPr>
            <w:tcW w:w="910" w:type="dxa"/>
            <w:vAlign w:val="center"/>
          </w:tcPr>
          <w:p w14:paraId="4149817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2,514</w:t>
            </w:r>
          </w:p>
        </w:tc>
      </w:tr>
      <w:tr w14:paraId="72DD86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361" w:type="dxa"/>
            <w:vAlign w:val="center"/>
          </w:tcPr>
          <w:p w14:paraId="31A76BDB">
            <w:pPr>
              <w:autoSpaceDE w:val="0"/>
              <w:autoSpaceDN w:val="0"/>
              <w:adjustRightInd w:val="0"/>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7.Sof joriy qiymat (6-qator investitsiyalar) 2,514 – 5 q -2,486</w:t>
            </w:r>
          </w:p>
        </w:tc>
        <w:tc>
          <w:tcPr>
            <w:tcW w:w="898" w:type="dxa"/>
            <w:vAlign w:val="center"/>
          </w:tcPr>
          <w:p w14:paraId="5B400FBB">
            <w:pPr>
              <w:autoSpaceDE w:val="0"/>
              <w:autoSpaceDN w:val="0"/>
              <w:adjustRightInd w:val="0"/>
              <w:spacing w:after="0" w:line="240" w:lineRule="auto"/>
              <w:jc w:val="center"/>
              <w:rPr>
                <w:rFonts w:ascii="Times New Roman" w:hAnsi="Times New Roman" w:cs="Times New Roman"/>
                <w:sz w:val="24"/>
                <w:szCs w:val="24"/>
                <w:lang w:val="en-US"/>
              </w:rPr>
            </w:pPr>
          </w:p>
        </w:tc>
        <w:tc>
          <w:tcPr>
            <w:tcW w:w="850" w:type="dxa"/>
            <w:vAlign w:val="center"/>
          </w:tcPr>
          <w:p w14:paraId="70A4402D">
            <w:pPr>
              <w:autoSpaceDE w:val="0"/>
              <w:autoSpaceDN w:val="0"/>
              <w:adjustRightInd w:val="0"/>
              <w:spacing w:after="0" w:line="240" w:lineRule="auto"/>
              <w:jc w:val="center"/>
              <w:rPr>
                <w:rFonts w:ascii="Times New Roman" w:hAnsi="Times New Roman" w:cs="Times New Roman"/>
                <w:sz w:val="24"/>
                <w:szCs w:val="24"/>
                <w:lang w:val="en-US"/>
              </w:rPr>
            </w:pPr>
          </w:p>
        </w:tc>
        <w:tc>
          <w:tcPr>
            <w:tcW w:w="851" w:type="dxa"/>
            <w:vAlign w:val="center"/>
          </w:tcPr>
          <w:p w14:paraId="088BC3B0">
            <w:pPr>
              <w:autoSpaceDE w:val="0"/>
              <w:autoSpaceDN w:val="0"/>
              <w:adjustRightInd w:val="0"/>
              <w:spacing w:after="0" w:line="240" w:lineRule="auto"/>
              <w:jc w:val="center"/>
              <w:rPr>
                <w:rFonts w:ascii="Times New Roman" w:hAnsi="Times New Roman" w:cs="Times New Roman"/>
                <w:sz w:val="24"/>
                <w:szCs w:val="24"/>
                <w:lang w:val="en-US"/>
              </w:rPr>
            </w:pPr>
          </w:p>
        </w:tc>
        <w:tc>
          <w:tcPr>
            <w:tcW w:w="850" w:type="dxa"/>
            <w:vAlign w:val="center"/>
          </w:tcPr>
          <w:p w14:paraId="3818831B">
            <w:pPr>
              <w:autoSpaceDE w:val="0"/>
              <w:autoSpaceDN w:val="0"/>
              <w:adjustRightInd w:val="0"/>
              <w:spacing w:after="0" w:line="240" w:lineRule="auto"/>
              <w:jc w:val="center"/>
              <w:rPr>
                <w:rFonts w:ascii="Times New Roman" w:hAnsi="Times New Roman" w:cs="Times New Roman"/>
                <w:sz w:val="24"/>
                <w:szCs w:val="24"/>
                <w:lang w:val="en-US"/>
              </w:rPr>
            </w:pPr>
          </w:p>
        </w:tc>
        <w:tc>
          <w:tcPr>
            <w:tcW w:w="851" w:type="dxa"/>
            <w:vAlign w:val="center"/>
          </w:tcPr>
          <w:p w14:paraId="1BA9B044">
            <w:pPr>
              <w:autoSpaceDE w:val="0"/>
              <w:autoSpaceDN w:val="0"/>
              <w:adjustRightInd w:val="0"/>
              <w:spacing w:after="0" w:line="240" w:lineRule="auto"/>
              <w:jc w:val="center"/>
              <w:rPr>
                <w:rFonts w:ascii="Times New Roman" w:hAnsi="Times New Roman" w:cs="Times New Roman"/>
                <w:sz w:val="24"/>
                <w:szCs w:val="24"/>
                <w:lang w:val="en-US"/>
              </w:rPr>
            </w:pPr>
          </w:p>
        </w:tc>
        <w:tc>
          <w:tcPr>
            <w:tcW w:w="910" w:type="dxa"/>
            <w:vAlign w:val="center"/>
          </w:tcPr>
          <w:p w14:paraId="65461B4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-2,486</w:t>
            </w:r>
          </w:p>
        </w:tc>
      </w:tr>
    </w:tbl>
    <w:p w14:paraId="4074A62A">
      <w:pPr>
        <w:autoSpaceDE w:val="0"/>
        <w:autoSpaceDN w:val="0"/>
        <w:adjustRightInd w:val="0"/>
        <w:spacing w:after="0" w:line="240" w:lineRule="auto"/>
        <w:ind w:firstLine="709"/>
        <w:jc w:val="both"/>
        <w:rPr>
          <w:rFonts w:ascii="Times New Roman" w:hAnsi="Times New Roman" w:cs="Times New Roman"/>
          <w:sz w:val="28"/>
          <w:szCs w:val="28"/>
        </w:rPr>
      </w:pPr>
    </w:p>
    <w:p w14:paraId="78CB4CF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Jadvalda ko’rsatilgan manfiy variantlarning barchasi zarar ko’riladigan variantlardir. Dastlabki uch variantning barchasida sotish hajmi 2 mlrd. so’m. 1410 - variantda esa sotish hajmi 4 mlrd. so’m va agar shu vaqtgacha yo’l qurilishi to’g’risida qaror qabul qilinmasa, zavod ishga tushgandan bir yil so’ng sotiladi. Sotish hajmi 4 mlrd. so’mdan ortgandan so’nggina loyiha samarali bo’ladi. 1451 va 1453 - variantlarni amalga oshirilish ehtimoli yuqoridagi jadvalda ko’rsatilgan va quyidagicha:</w:t>
      </w:r>
    </w:p>
    <w:p w14:paraId="0ED91B56">
      <w:pPr>
        <w:autoSpaceDE w:val="0"/>
        <w:autoSpaceDN w:val="0"/>
        <w:adjustRightInd w:val="0"/>
        <w:spacing w:before="120" w:after="12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1451 uchun: 0,7 x 0,4q0,28;</w:t>
      </w:r>
    </w:p>
    <w:p w14:paraId="212B5986">
      <w:pPr>
        <w:autoSpaceDE w:val="0"/>
        <w:autoSpaceDN w:val="0"/>
        <w:adjustRightInd w:val="0"/>
        <w:spacing w:before="120" w:after="12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1453 uchun: 0,7x 0,6 q0,42 da.</w:t>
      </w:r>
    </w:p>
    <w:p w14:paraId="3F53EA9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Jadvaldagi ma’lumotlar yordamida, ushbu loyihaga mablag’ sarflashda hisobga olinishi zarur bo’lgan barcha variantlar bo’yicha sof keltirilgan qiymatni topish mumkin.</w:t>
      </w:r>
    </w:p>
    <w:p w14:paraId="443B28E6">
      <w:pPr>
        <w:autoSpaceDE w:val="0"/>
        <w:autoSpaceDN w:val="0"/>
        <w:adjustRightInd w:val="0"/>
        <w:spacing w:before="120" w:after="120" w:line="240" w:lineRule="auto"/>
        <w:jc w:val="center"/>
        <w:rPr>
          <w:rFonts w:ascii="Times New Roman" w:hAnsi="Times New Roman" w:eastAsia="LiberationSerif-Bold" w:cs="Times New Roman"/>
          <w:b/>
          <w:bCs/>
          <w:sz w:val="28"/>
          <w:szCs w:val="28"/>
          <w:lang w:val="en-US"/>
        </w:rPr>
      </w:pPr>
      <w:r>
        <w:rPr>
          <w:rFonts w:ascii="Times New Roman" w:hAnsi="Times New Roman" w:cs="Times New Roman"/>
          <w:sz w:val="28"/>
          <w:szCs w:val="28"/>
          <w:lang w:val="en-US"/>
        </w:rPr>
        <w:t>NPVq 0,3 * (-1,364)Q0,28* 1,307Q0,42*2,546 q1,026</w:t>
      </w:r>
    </w:p>
    <w:p w14:paraId="2D63A032">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p>
    <w:p w14:paraId="7CA38786">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13.6. Investitsiyalarda qaltislik darajasini</w:t>
      </w:r>
    </w:p>
    <w:p w14:paraId="16AA3CF4">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bosqichma-bosqich baholash</w:t>
      </w:r>
    </w:p>
    <w:p w14:paraId="64EB2847">
      <w:pPr>
        <w:autoSpaceDE w:val="0"/>
        <w:autoSpaceDN w:val="0"/>
        <w:adjustRightInd w:val="0"/>
        <w:spacing w:after="0" w:line="240" w:lineRule="auto"/>
        <w:ind w:firstLine="709"/>
        <w:jc w:val="both"/>
        <w:rPr>
          <w:rFonts w:ascii="Times New Roman" w:hAnsi="Times New Roman" w:cs="Times New Roman"/>
          <w:sz w:val="28"/>
          <w:szCs w:val="28"/>
          <w:lang w:val="en-US"/>
        </w:rPr>
      </w:pPr>
    </w:p>
    <w:p w14:paraId="0A5ECA9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Loyiha amalga kirgunga qadar har xil bosqichlardan o’tadi. Har bir bosqichda o’ziga xos qaltis bo’lib, ularni bosqichma-bosqich baholash va barchasining yig’indisini topish kerak (8-9 ilovalarga qarang). Oldingi mavzulardan ma’lumki, loyiha quyidagi bosqichlardan iborat:</w:t>
      </w:r>
    </w:p>
    <w:p w14:paraId="141D570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loyihani vujudga keltirishdan oldingi, tayyorlash bosqichi;</w:t>
      </w:r>
    </w:p>
    <w:p w14:paraId="5BB26D1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qurilish: inshoot, uskunalar qurish, qurilish uchun zarur bo’lgan materiallarni sotib olish va ularni montaj qilish;</w:t>
      </w:r>
    </w:p>
    <w:p w14:paraId="3A714EC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loyiha asosida vujudga keltirilgan ob’ektni ishga tushurish va uni to’liq quvvatga olib chiqish hamda shu asosda foyda olish.</w:t>
      </w:r>
    </w:p>
    <w:p w14:paraId="79FFF37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Hamma hisob-kitoblar ikki martadan, ya’ni:</w:t>
      </w:r>
    </w:p>
    <w:p w14:paraId="7FDAA72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loyihani vujudga keltirish paytida;</w:t>
      </w:r>
    </w:p>
    <w:p w14:paraId="0EA188D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loyihaning xavfli elementlari aniqlangandan keyin amalga oshiriladi.</w:t>
      </w:r>
    </w:p>
    <w:p w14:paraId="3C02FB9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O’z ta’sir kuchi bo’yicha qaltisliklari oddiy va murakkab bo’ladi. Oddiy xavflar bir-biri bilan bog’liq bo’lmagan xavflardir. Loyihani vujudga keltirish davrida hamma xavflarning ro’yxatini tuzib olish va ulardan har birining xavflardagi salmog’ini aniqlab olish kerak. Aytilgan hollarni quyidagi bir misolda ko’rib chiqamiz:</w:t>
      </w:r>
    </w:p>
    <w:p w14:paraId="184EB7F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Har bir ekspertga ehtimolli xavflar ustida chuqur tahlil ishlarini olib borish topshiriladi va ularga quyidagi baholash tizimidan foydalanish tavsiya etiladi:</w:t>
      </w:r>
    </w:p>
    <w:p w14:paraId="75C2E85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0 - xavf yo’q deb qabul </w:t>
      </w:r>
      <w:r>
        <w:rPr>
          <w:rFonts w:ascii="Times New Roman" w:hAnsi="Times New Roman" w:cs="Times New Roman"/>
          <w:sz w:val="28"/>
          <w:szCs w:val="28"/>
          <w:lang w:val="uz-Cyrl-UZ"/>
        </w:rPr>
        <w:t>q</w:t>
      </w:r>
      <w:r>
        <w:rPr>
          <w:rFonts w:ascii="Times New Roman" w:hAnsi="Times New Roman" w:cs="Times New Roman"/>
          <w:sz w:val="28"/>
          <w:szCs w:val="28"/>
          <w:lang w:val="en-US"/>
        </w:rPr>
        <w:t>ilingan;</w:t>
      </w:r>
    </w:p>
    <w:p w14:paraId="003D806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25 - xavf asosan yuzaga chiqmaydi;</w:t>
      </w:r>
    </w:p>
    <w:p w14:paraId="3C85C4AB">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50 - bu holat hali hech qanday mulohaza yuritishga asos bo’la olmaydi;</w:t>
      </w:r>
    </w:p>
    <w:p w14:paraId="262F0FA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75 - har qalay xavf o’z kuchini ko’rsa</w:t>
      </w:r>
      <w:r>
        <w:rPr>
          <w:rFonts w:ascii="Times New Roman" w:hAnsi="Times New Roman" w:cs="Times New Roman"/>
          <w:sz w:val="28"/>
          <w:szCs w:val="28"/>
          <w:lang w:val="uz-Cyrl-UZ"/>
        </w:rPr>
        <w:t>ts</w:t>
      </w:r>
      <w:r>
        <w:rPr>
          <w:rFonts w:ascii="Times New Roman" w:hAnsi="Times New Roman" w:cs="Times New Roman"/>
          <w:sz w:val="28"/>
          <w:szCs w:val="28"/>
          <w:lang w:val="en-US"/>
        </w:rPr>
        <w:t>a kerak;</w:t>
      </w:r>
    </w:p>
    <w:p w14:paraId="2797210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100 - xavf yuzaga chiqsa kerak.</w:t>
      </w:r>
    </w:p>
    <w:p w14:paraId="2A2F857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E</w:t>
      </w:r>
      <w:r>
        <w:rPr>
          <w:rFonts w:ascii="Times New Roman" w:hAnsi="Times New Roman" w:cs="Times New Roman"/>
          <w:sz w:val="28"/>
          <w:szCs w:val="28"/>
          <w:lang w:val="en-US"/>
        </w:rPr>
        <w:t>kspertlar baholarining bir-biriga zid kelmasligi quyidagi qoidalarga ko’ra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tahlil qilinadi.</w:t>
      </w:r>
    </w:p>
    <w:p w14:paraId="49358F2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qoida: ikkita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kspertning fikri orasidagi farq 50 dan oshishi kerak </w:t>
      </w:r>
      <w:r>
        <w:rPr>
          <w:rFonts w:ascii="Times New Roman" w:hAnsi="Times New Roman" w:cs="Times New Roman"/>
          <w:sz w:val="28"/>
          <w:szCs w:val="28"/>
          <w:lang w:val="uz-Cyrl-UZ"/>
        </w:rPr>
        <w:t>e</w:t>
      </w:r>
      <w:r>
        <w:rPr>
          <w:rFonts w:ascii="Times New Roman" w:hAnsi="Times New Roman" w:cs="Times New Roman"/>
          <w:sz w:val="28"/>
          <w:szCs w:val="28"/>
          <w:lang w:val="en-US"/>
        </w:rPr>
        <w:t>mas.</w:t>
      </w:r>
    </w:p>
    <w:p w14:paraId="11FB0E5D">
      <w:pPr>
        <w:autoSpaceDE w:val="0"/>
        <w:autoSpaceDN w:val="0"/>
        <w:adjustRightInd w:val="0"/>
        <w:spacing w:before="120" w:after="12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Max </w:t>
      </w:r>
      <w:r>
        <w:rPr>
          <w:rFonts w:ascii="Times New Roman" w:hAnsi="Times New Roman" w:cs="Times New Roman"/>
          <w:sz w:val="28"/>
          <w:szCs w:val="28"/>
          <w:lang w:val="uz-Cyrl-UZ"/>
        </w:rPr>
        <w:t>|</w:t>
      </w:r>
      <w:r>
        <w:rPr>
          <w:rFonts w:ascii="Times New Roman" w:hAnsi="Times New Roman" w:cs="Times New Roman"/>
          <w:sz w:val="28"/>
          <w:szCs w:val="28"/>
          <w:lang w:val="en-US"/>
        </w:rPr>
        <w:t>a</w:t>
      </w:r>
      <w:r>
        <w:rPr>
          <w:rFonts w:ascii="Times New Roman" w:hAnsi="Times New Roman" w:cs="Times New Roman"/>
          <w:sz w:val="28"/>
          <w:szCs w:val="28"/>
          <w:vertAlign w:val="subscript"/>
          <w:lang w:val="en-US"/>
        </w:rPr>
        <w:t>i</w:t>
      </w:r>
      <w:r>
        <w:rPr>
          <w:rFonts w:ascii="Times New Roman" w:hAnsi="Times New Roman" w:cs="Times New Roman"/>
          <w:sz w:val="28"/>
          <w:szCs w:val="28"/>
          <w:lang w:val="en-US"/>
        </w:rPr>
        <w:t xml:space="preserve"> - b</w:t>
      </w:r>
      <w:r>
        <w:rPr>
          <w:rFonts w:ascii="Times New Roman" w:hAnsi="Times New Roman" w:cs="Times New Roman"/>
          <w:sz w:val="28"/>
          <w:szCs w:val="28"/>
          <w:vertAlign w:val="subscript"/>
          <w:lang w:val="en-US"/>
        </w:rPr>
        <w:t>i</w:t>
      </w:r>
      <w:r>
        <w:rPr>
          <w:rFonts w:ascii="Times New Roman" w:hAnsi="Times New Roman" w:cs="Times New Roman"/>
          <w:sz w:val="28"/>
          <w:szCs w:val="28"/>
          <w:lang w:val="en-US"/>
        </w:rPr>
        <w:t>| ≤ 50</w:t>
      </w:r>
    </w:p>
    <w:p w14:paraId="21824C0C">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Bu erda: a va b ikkita </w:t>
      </w:r>
      <w:r>
        <w:rPr>
          <w:rFonts w:ascii="Times New Roman" w:hAnsi="Times New Roman" w:cs="Times New Roman"/>
          <w:sz w:val="28"/>
          <w:szCs w:val="28"/>
          <w:lang w:val="uz-Cyrl-UZ"/>
        </w:rPr>
        <w:t>e</w:t>
      </w:r>
      <w:r>
        <w:rPr>
          <w:rFonts w:ascii="Times New Roman" w:hAnsi="Times New Roman" w:cs="Times New Roman"/>
          <w:sz w:val="28"/>
          <w:szCs w:val="28"/>
          <w:lang w:val="en-US"/>
        </w:rPr>
        <w:t>kspertning fikri.</w:t>
      </w:r>
    </w:p>
    <w:p w14:paraId="0DD4A8B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Agar </w:t>
      </w:r>
      <w:r>
        <w:rPr>
          <w:rFonts w:ascii="Times New Roman" w:hAnsi="Times New Roman" w:cs="Times New Roman"/>
          <w:sz w:val="28"/>
          <w:szCs w:val="28"/>
          <w:lang w:val="uz-Cyrl-UZ"/>
        </w:rPr>
        <w:t>e</w:t>
      </w:r>
      <w:r>
        <w:rPr>
          <w:rFonts w:ascii="Times New Roman" w:hAnsi="Times New Roman" w:cs="Times New Roman"/>
          <w:sz w:val="28"/>
          <w:szCs w:val="28"/>
          <w:lang w:val="en-US"/>
        </w:rPr>
        <w:t>kspertlar soni uchta bo’lsa, birinchi va ikkinchi, birinchi va uchinchi,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ikkinchi va uchinchi </w:t>
      </w:r>
      <w:r>
        <w:rPr>
          <w:rFonts w:ascii="Times New Roman" w:hAnsi="Times New Roman" w:cs="Times New Roman"/>
          <w:sz w:val="28"/>
          <w:szCs w:val="28"/>
          <w:lang w:val="uz-Cyrl-UZ"/>
        </w:rPr>
        <w:t>e</w:t>
      </w:r>
      <w:r>
        <w:rPr>
          <w:rFonts w:ascii="Times New Roman" w:hAnsi="Times New Roman" w:cs="Times New Roman"/>
          <w:sz w:val="28"/>
          <w:szCs w:val="28"/>
          <w:lang w:val="en-US"/>
        </w:rPr>
        <w:t>kspertlar fikrining natijasi olinadi. Masalan, alohida oddiy xavf</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bo’yicha uchta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kspert quyidagicha fikr berdi a-0 , v-25, s-50, </w:t>
      </w:r>
      <w:r>
        <w:rPr>
          <w:rFonts w:ascii="Times New Roman" w:hAnsi="Times New Roman" w:cs="Times New Roman"/>
          <w:sz w:val="28"/>
          <w:szCs w:val="28"/>
          <w:lang w:val="uz-Cyrl-UZ"/>
        </w:rPr>
        <w:t>bunda</w:t>
      </w:r>
      <w:r>
        <w:rPr>
          <w:rFonts w:ascii="Times New Roman" w:hAnsi="Times New Roman" w:cs="Times New Roman"/>
          <w:sz w:val="28"/>
          <w:szCs w:val="28"/>
          <w:lang w:val="en-US"/>
        </w:rPr>
        <w:t xml:space="preserve"> av q 25; asq 50;</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vsq 25 bu natijalar birinchi qoida talablarini qoniqtiradi.</w:t>
      </w:r>
    </w:p>
    <w:p w14:paraId="2FE623D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 Qonuniyat. Agar </w:t>
      </w:r>
      <w:r>
        <w:rPr>
          <w:rFonts w:ascii="Times New Roman" w:hAnsi="Times New Roman" w:cs="Times New Roman"/>
          <w:sz w:val="28"/>
          <w:szCs w:val="28"/>
          <w:lang w:val="uz-Cyrl-UZ"/>
        </w:rPr>
        <w:t>e</w:t>
      </w:r>
      <w:r>
        <w:rPr>
          <w:rFonts w:ascii="Times New Roman" w:hAnsi="Times New Roman" w:cs="Times New Roman"/>
          <w:sz w:val="28"/>
          <w:szCs w:val="28"/>
          <w:lang w:val="en-US"/>
        </w:rPr>
        <w:t>kspertlar ko’p bo’lsa hamda ularning fikrlari bir-biridan tubdan farq qilsa, quyidagi formuladan foydalaniladi (28-formula):</w:t>
      </w:r>
    </w:p>
    <w:p w14:paraId="6F32FE0C">
      <w:pPr>
        <w:autoSpaceDE w:val="0"/>
        <w:autoSpaceDN w:val="0"/>
        <w:adjustRightInd w:val="0"/>
        <w:spacing w:before="120" w:after="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Pr>
          <w:rFonts w:ascii="Times New Roman" w:hAnsi="Times New Roman" w:cs="Times New Roman"/>
          <w:sz w:val="20"/>
          <w:szCs w:val="20"/>
          <w:lang w:val="uz-Cyrl-UZ"/>
        </w:rPr>
        <w:tab/>
      </w:r>
      <w:r>
        <w:rPr>
          <w:rFonts w:ascii="Times New Roman" w:hAnsi="Times New Roman" w:cs="Times New Roman"/>
          <w:sz w:val="20"/>
          <w:szCs w:val="20"/>
          <w:lang w:val="uz-Cyrl-UZ"/>
        </w:rPr>
        <w:tab/>
      </w:r>
      <w:r>
        <w:rPr>
          <w:rFonts w:ascii="Times New Roman" w:hAnsi="Times New Roman" w:cs="Times New Roman"/>
          <w:sz w:val="20"/>
          <w:szCs w:val="20"/>
          <w:lang w:val="uz-Cyrl-UZ"/>
        </w:rPr>
        <w:tab/>
      </w:r>
      <w:r>
        <w:rPr>
          <w:rFonts w:ascii="Times New Roman" w:hAnsi="Times New Roman" w:cs="Times New Roman"/>
          <w:sz w:val="20"/>
          <w:szCs w:val="20"/>
          <w:lang w:val="uz-Cyrl-UZ"/>
        </w:rPr>
        <w:tab/>
      </w:r>
      <w:r>
        <w:rPr>
          <w:rFonts w:ascii="Times New Roman" w:hAnsi="Times New Roman" w:cs="Times New Roman"/>
          <w:sz w:val="20"/>
          <w:szCs w:val="20"/>
          <w:lang w:val="uz-Cyrl-UZ"/>
        </w:rPr>
        <w:t xml:space="preserve">    </w:t>
      </w:r>
      <w:r>
        <w:rPr>
          <w:rFonts w:ascii="Times New Roman" w:hAnsi="Times New Roman" w:cs="Times New Roman"/>
          <w:sz w:val="20"/>
          <w:szCs w:val="20"/>
          <w:lang w:val="en-US"/>
        </w:rPr>
        <w:t>n</w:t>
      </w:r>
    </w:p>
    <w:p w14:paraId="5512D26A">
      <w:pPr>
        <w:autoSpaceDE w:val="0"/>
        <w:autoSpaceDN w:val="0"/>
        <w:adjustRightInd w:val="0"/>
        <w:spacing w:after="0" w:line="24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sz w:val="28"/>
          <w:szCs w:val="28"/>
          <w:lang w:val="uz-Cyrl-UZ"/>
        </w:rPr>
        <w:t>|</w:t>
      </w:r>
      <w:r>
        <w:rPr>
          <w:rFonts w:ascii="Times New Roman" w:hAnsi="Times New Roman" w:cs="Times New Roman"/>
          <w:sz w:val="28"/>
          <w:szCs w:val="28"/>
          <w:lang w:val="en-US"/>
        </w:rPr>
        <w:t>a</w:t>
      </w:r>
      <w:r>
        <w:rPr>
          <w:rFonts w:ascii="Times New Roman" w:hAnsi="Times New Roman" w:cs="Times New Roman"/>
          <w:sz w:val="28"/>
          <w:szCs w:val="28"/>
          <w:vertAlign w:val="subscript"/>
          <w:lang w:val="en-US"/>
        </w:rPr>
        <w:t>i</w:t>
      </w:r>
      <w:r>
        <w:rPr>
          <w:rFonts w:ascii="Times New Roman" w:hAnsi="Times New Roman" w:cs="Times New Roman"/>
          <w:sz w:val="28"/>
          <w:szCs w:val="28"/>
          <w:lang w:val="en-US"/>
        </w:rPr>
        <w:t xml:space="preserve"> - v</w:t>
      </w:r>
      <w:r>
        <w:rPr>
          <w:rFonts w:ascii="Times New Roman" w:hAnsi="Times New Roman" w:cs="Times New Roman"/>
          <w:sz w:val="28"/>
          <w:szCs w:val="28"/>
          <w:vertAlign w:val="subscript"/>
          <w:lang w:val="en-US"/>
        </w:rPr>
        <w:t>i</w:t>
      </w:r>
      <w:r>
        <w:rPr>
          <w:rFonts w:ascii="Times New Roman" w:hAnsi="Times New Roman" w:cs="Times New Roman"/>
          <w:sz w:val="28"/>
          <w:szCs w:val="28"/>
          <w:lang w:val="en-US"/>
        </w:rPr>
        <w:t>| G’ N ≤ 25</w:t>
      </w:r>
    </w:p>
    <w:p w14:paraId="1DC3FA1C">
      <w:pPr>
        <w:autoSpaceDE w:val="0"/>
        <w:autoSpaceDN w:val="0"/>
        <w:adjustRightInd w:val="0"/>
        <w:spacing w:after="120" w:line="240" w:lineRule="auto"/>
        <w:ind w:firstLine="709"/>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    </w:t>
      </w:r>
      <w:r>
        <w:rPr>
          <w:rFonts w:ascii="Times New Roman" w:hAnsi="Times New Roman" w:cs="Times New Roman"/>
          <w:sz w:val="20"/>
          <w:szCs w:val="20"/>
          <w:lang w:val="uz-Cyrl-UZ"/>
        </w:rPr>
        <w:tab/>
      </w:r>
      <w:r>
        <w:rPr>
          <w:rFonts w:ascii="Times New Roman" w:hAnsi="Times New Roman" w:cs="Times New Roman"/>
          <w:sz w:val="20"/>
          <w:szCs w:val="20"/>
          <w:lang w:val="uz-Cyrl-UZ"/>
        </w:rPr>
        <w:tab/>
      </w:r>
      <w:r>
        <w:rPr>
          <w:rFonts w:ascii="Times New Roman" w:hAnsi="Times New Roman" w:cs="Times New Roman"/>
          <w:sz w:val="20"/>
          <w:szCs w:val="20"/>
          <w:lang w:val="uz-Cyrl-UZ"/>
        </w:rPr>
        <w:tab/>
      </w:r>
      <w:r>
        <w:rPr>
          <w:rFonts w:ascii="Times New Roman" w:hAnsi="Times New Roman" w:cs="Times New Roman"/>
          <w:sz w:val="20"/>
          <w:szCs w:val="20"/>
          <w:lang w:val="uz-Cyrl-UZ"/>
        </w:rPr>
        <w:tab/>
      </w:r>
      <w:r>
        <w:rPr>
          <w:rFonts w:ascii="Times New Roman" w:hAnsi="Times New Roman" w:cs="Times New Roman"/>
          <w:sz w:val="20"/>
          <w:szCs w:val="20"/>
          <w:lang w:val="uz-Cyrl-UZ"/>
        </w:rPr>
        <w:t xml:space="preserve">    </w:t>
      </w:r>
      <w:r>
        <w:rPr>
          <w:rFonts w:ascii="Times New Roman" w:hAnsi="Times New Roman" w:cs="Times New Roman"/>
          <w:sz w:val="20"/>
          <w:szCs w:val="20"/>
          <w:lang w:val="en-US"/>
        </w:rPr>
        <w:t>i</w:t>
      </w:r>
    </w:p>
    <w:p w14:paraId="57A6957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Misol: 3 ta </w:t>
      </w:r>
      <w:r>
        <w:rPr>
          <w:rFonts w:ascii="Times New Roman" w:hAnsi="Times New Roman" w:cs="Times New Roman"/>
          <w:sz w:val="28"/>
          <w:szCs w:val="28"/>
          <w:lang w:val="uz-Cyrl-UZ"/>
        </w:rPr>
        <w:t>e</w:t>
      </w:r>
      <w:r>
        <w:rPr>
          <w:rFonts w:ascii="Times New Roman" w:hAnsi="Times New Roman" w:cs="Times New Roman"/>
          <w:sz w:val="28"/>
          <w:szCs w:val="28"/>
          <w:lang w:val="en-US"/>
        </w:rPr>
        <w:t>kspert A,V,S quyidagi loyiha bahosini berdilar:</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(100,75,50,25);</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V (75,75,75,75); S (25,50,75,100);</w:t>
      </w:r>
    </w:p>
    <w:p w14:paraId="1BF58EAE">
      <w:pPr>
        <w:autoSpaceDE w:val="0"/>
        <w:autoSpaceDN w:val="0"/>
        <w:adjustRightInd w:val="0"/>
        <w:spacing w:before="120" w:after="120"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en-US"/>
        </w:rPr>
        <w:t>AV</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[(100</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75) Q((75</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75) Q</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50-75) Q(25</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75)</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4q 100</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4q 25.</w:t>
      </w:r>
    </w:p>
    <w:p w14:paraId="4633F0B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Xuddi shunday AS</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q 50 va VSq 25 topiladi. Agar yuqoridagidek </w:t>
      </w:r>
      <w:r>
        <w:rPr>
          <w:rFonts w:ascii="Times New Roman" w:hAnsi="Times New Roman" w:cs="Times New Roman"/>
          <w:sz w:val="28"/>
          <w:szCs w:val="28"/>
          <w:lang w:val="uz-Cyrl-UZ"/>
        </w:rPr>
        <w:t>e</w:t>
      </w:r>
      <w:r>
        <w:rPr>
          <w:rFonts w:ascii="Times New Roman" w:hAnsi="Times New Roman" w:cs="Times New Roman"/>
          <w:sz w:val="28"/>
          <w:szCs w:val="28"/>
          <w:lang w:val="en-US"/>
        </w:rPr>
        <w:t>kspertlarning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fikri bir-biridan farq qilsa, unda maxsus mutaxassislar yig’ilishida bu masala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o’rganiladi. Aytaylik, loyiha maqsadi jamoa xo’jaligi hududida aktsiyadorlik jamiyati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sutni qayta ishlaydigan korxona vujudga keltirishdan iborat. Xom ashyo bazasi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korxona atrofidagi fermer xo’jaligi hisoblanadi. Korxona o’z mahsulotini yaqinda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joylashgan shaharda sotadi. Korxonada yirik muzlatgich bo’lib, u avariya bo’lsa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atrof-muhitni ammiak bilan ifloslashga olib kelish </w:t>
      </w:r>
      <w:r>
        <w:rPr>
          <w:rFonts w:ascii="Times New Roman" w:hAnsi="Times New Roman" w:cs="Times New Roman"/>
          <w:sz w:val="28"/>
          <w:szCs w:val="28"/>
          <w:lang w:val="uz-Cyrl-UZ"/>
        </w:rPr>
        <w:t>e</w:t>
      </w:r>
      <w:r>
        <w:rPr>
          <w:rFonts w:ascii="Times New Roman" w:hAnsi="Times New Roman" w:cs="Times New Roman"/>
          <w:sz w:val="28"/>
          <w:szCs w:val="28"/>
          <w:lang w:val="en-US"/>
        </w:rPr>
        <w:t>htimoli bor. Xavf darajasini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aniqlash uchun 3 ta </w:t>
      </w:r>
      <w:r>
        <w:rPr>
          <w:rFonts w:ascii="Times New Roman" w:hAnsi="Times New Roman" w:cs="Times New Roman"/>
          <w:sz w:val="28"/>
          <w:szCs w:val="28"/>
          <w:lang w:val="uz-Cyrl-UZ"/>
        </w:rPr>
        <w:t>e</w:t>
      </w:r>
      <w:r>
        <w:rPr>
          <w:rFonts w:ascii="Times New Roman" w:hAnsi="Times New Roman" w:cs="Times New Roman"/>
          <w:sz w:val="28"/>
          <w:szCs w:val="28"/>
          <w:lang w:val="en-US"/>
        </w:rPr>
        <w:t>kspert chaqirilgan. 1-</w:t>
      </w:r>
      <w:r>
        <w:rPr>
          <w:rFonts w:ascii="Times New Roman" w:hAnsi="Times New Roman" w:cs="Times New Roman"/>
          <w:sz w:val="28"/>
          <w:szCs w:val="28"/>
          <w:lang w:val="uz-Cyrl-UZ"/>
        </w:rPr>
        <w:t>e</w:t>
      </w:r>
      <w:r>
        <w:rPr>
          <w:rFonts w:ascii="Times New Roman" w:hAnsi="Times New Roman" w:cs="Times New Roman"/>
          <w:sz w:val="28"/>
          <w:szCs w:val="28"/>
          <w:lang w:val="en-US"/>
        </w:rPr>
        <w:t>kspert aktsionerlik jamiyati direktori; 2-</w:t>
      </w:r>
      <w:r>
        <w:rPr>
          <w:rFonts w:ascii="Times New Roman" w:hAnsi="Times New Roman" w:cs="Times New Roman"/>
          <w:sz w:val="28"/>
          <w:szCs w:val="28"/>
          <w:lang w:val="uz-Cyrl-UZ"/>
        </w:rPr>
        <w:t>e</w:t>
      </w:r>
      <w:r>
        <w:rPr>
          <w:rFonts w:ascii="Times New Roman" w:hAnsi="Times New Roman" w:cs="Times New Roman"/>
          <w:sz w:val="28"/>
          <w:szCs w:val="28"/>
          <w:lang w:val="en-US"/>
        </w:rPr>
        <w:t>kspert mahalliy rahbar; 3-</w:t>
      </w:r>
      <w:r>
        <w:rPr>
          <w:rFonts w:ascii="Times New Roman" w:hAnsi="Times New Roman" w:cs="Times New Roman"/>
          <w:sz w:val="28"/>
          <w:szCs w:val="28"/>
          <w:lang w:val="uz-Cyrl-UZ"/>
        </w:rPr>
        <w:t>e</w:t>
      </w:r>
      <w:r>
        <w:rPr>
          <w:rFonts w:ascii="Times New Roman" w:hAnsi="Times New Roman" w:cs="Times New Roman"/>
          <w:sz w:val="28"/>
          <w:szCs w:val="28"/>
          <w:lang w:val="en-US"/>
        </w:rPr>
        <w:t>kspert pensioner.</w:t>
      </w:r>
    </w:p>
    <w:p w14:paraId="77BF915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Birinchi bosqich bo’yicha, ya’ni tayyorlov davridagi qaltislik bo’yicha ma’lum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bo’ladiki, ikkinchi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kspert optimist, uchinchi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kspert </w:t>
      </w:r>
      <w:r>
        <w:rPr>
          <w:rFonts w:ascii="Times New Roman" w:hAnsi="Times New Roman" w:cs="Times New Roman"/>
          <w:sz w:val="28"/>
          <w:szCs w:val="28"/>
          <w:lang w:val="uz-Cyrl-UZ"/>
        </w:rPr>
        <w:t>e</w:t>
      </w:r>
      <w:r>
        <w:rPr>
          <w:rFonts w:ascii="Times New Roman" w:hAnsi="Times New Roman" w:cs="Times New Roman"/>
          <w:sz w:val="28"/>
          <w:szCs w:val="28"/>
          <w:lang w:val="en-US"/>
        </w:rPr>
        <w:t>sa pissimist. Bu, albatta,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kelgusida to’g’ri qaror qilishga ijobiy ta’sir ko’rsatadi. </w:t>
      </w:r>
      <w:r>
        <w:rPr>
          <w:rFonts w:ascii="Times New Roman" w:hAnsi="Times New Roman" w:cs="Times New Roman"/>
          <w:sz w:val="28"/>
          <w:szCs w:val="28"/>
          <w:lang w:val="uz-Cyrl-UZ"/>
        </w:rPr>
        <w:t>Yu</w:t>
      </w:r>
      <w:r>
        <w:rPr>
          <w:rFonts w:ascii="Times New Roman" w:hAnsi="Times New Roman" w:cs="Times New Roman"/>
          <w:sz w:val="28"/>
          <w:szCs w:val="28"/>
          <w:lang w:val="en-US"/>
        </w:rPr>
        <w:t>qoridagi keltirilgan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xavflardan tashqari quyidagi qaltisliklar ham mavjud bo’lib, ularni tayyorlov</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bosqichiga kiritish mumkin:</w:t>
      </w:r>
    </w:p>
    <w:p w14:paraId="25BF62A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transportdan uzoqda joylashganligi;</w:t>
      </w:r>
    </w:p>
    <w:p w14:paraId="3572A144">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muqobil xom ashyo manbalariga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ga yoki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ga </w:t>
      </w:r>
      <w:r>
        <w:rPr>
          <w:rFonts w:ascii="Times New Roman" w:hAnsi="Times New Roman" w:cs="Times New Roman"/>
          <w:sz w:val="28"/>
          <w:szCs w:val="28"/>
          <w:lang w:val="uz-Cyrl-UZ"/>
        </w:rPr>
        <w:t>e</w:t>
      </w:r>
      <w:r>
        <w:rPr>
          <w:rFonts w:ascii="Times New Roman" w:hAnsi="Times New Roman" w:cs="Times New Roman"/>
          <w:sz w:val="28"/>
          <w:szCs w:val="28"/>
          <w:lang w:val="en-US"/>
        </w:rPr>
        <w:t>masligi;</w:t>
      </w:r>
    </w:p>
    <w:p w14:paraId="3A539DD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qurilishga doir bo’ladigan yuridik hujjatlarni tayyorlash;</w:t>
      </w:r>
    </w:p>
    <w:p w14:paraId="2C39242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ob’ektni boshqarishni tashkil </w:t>
      </w:r>
      <w:r>
        <w:rPr>
          <w:rFonts w:ascii="Times New Roman" w:hAnsi="Times New Roman" w:cs="Times New Roman"/>
          <w:sz w:val="28"/>
          <w:szCs w:val="28"/>
          <w:lang w:val="uz-Cyrl-UZ"/>
        </w:rPr>
        <w:t>e</w:t>
      </w:r>
      <w:r>
        <w:rPr>
          <w:rFonts w:ascii="Times New Roman" w:hAnsi="Times New Roman" w:cs="Times New Roman"/>
          <w:sz w:val="28"/>
          <w:szCs w:val="28"/>
          <w:lang w:val="en-US"/>
        </w:rPr>
        <w:t>tish bilan bog’liq bo’lgan xavflar.</w:t>
      </w:r>
    </w:p>
    <w:p w14:paraId="0BC4E388">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Bularni yuqoridagi qaltisliklarga qo’shish uchun muqobil javoblar bo’lishi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kerak. Agar </w:t>
      </w:r>
      <w:r>
        <w:rPr>
          <w:rFonts w:ascii="Times New Roman" w:hAnsi="Times New Roman" w:cs="Times New Roman"/>
          <w:sz w:val="28"/>
          <w:szCs w:val="28"/>
          <w:lang w:val="uz-Cyrl-UZ"/>
        </w:rPr>
        <w:t>e</w:t>
      </w:r>
      <w:r>
        <w:rPr>
          <w:rFonts w:ascii="Times New Roman" w:hAnsi="Times New Roman" w:cs="Times New Roman"/>
          <w:sz w:val="28"/>
          <w:szCs w:val="28"/>
          <w:lang w:val="en-US"/>
        </w:rPr>
        <w:t>kspertlarning fikrlari bir joydan chiqsa, unda bularni qo’shish shart</w:t>
      </w:r>
      <w:r>
        <w:rPr>
          <w:rFonts w:ascii="Times New Roman" w:hAnsi="Times New Roman" w:cs="Times New Roman"/>
          <w:sz w:val="28"/>
          <w:szCs w:val="28"/>
          <w:lang w:val="uz-Cyrl-UZ"/>
        </w:rPr>
        <w:t xml:space="preserve"> e</w:t>
      </w:r>
      <w:r>
        <w:rPr>
          <w:rFonts w:ascii="Times New Roman" w:hAnsi="Times New Roman" w:cs="Times New Roman"/>
          <w:sz w:val="28"/>
          <w:szCs w:val="28"/>
          <w:lang w:val="en-US"/>
        </w:rPr>
        <w:t xml:space="preserve">mas. </w:t>
      </w:r>
      <w:r>
        <w:rPr>
          <w:rFonts w:ascii="Times New Roman" w:hAnsi="Times New Roman" w:cs="Times New Roman"/>
          <w:sz w:val="28"/>
          <w:szCs w:val="28"/>
          <w:lang w:val="uz-Cyrl-UZ"/>
        </w:rPr>
        <w:t>Yu</w:t>
      </w:r>
      <w:r>
        <w:rPr>
          <w:rFonts w:ascii="Times New Roman" w:hAnsi="Times New Roman" w:cs="Times New Roman"/>
          <w:sz w:val="28"/>
          <w:szCs w:val="28"/>
          <w:lang w:val="en-US"/>
        </w:rPr>
        <w:t xml:space="preserve">qoridagi jadvalda </w:t>
      </w:r>
      <w:r>
        <w:rPr>
          <w:rFonts w:ascii="Times New Roman" w:hAnsi="Times New Roman" w:cs="Times New Roman"/>
          <w:sz w:val="28"/>
          <w:szCs w:val="28"/>
          <w:lang w:val="uz-Cyrl-UZ"/>
        </w:rPr>
        <w:t>e</w:t>
      </w:r>
      <w:r>
        <w:rPr>
          <w:rFonts w:ascii="Times New Roman" w:hAnsi="Times New Roman" w:cs="Times New Roman"/>
          <w:sz w:val="28"/>
          <w:szCs w:val="28"/>
          <w:lang w:val="en-US"/>
        </w:rPr>
        <w:t>kspertlar tomonidan baholangan qaltislik darajasining</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dastlabki natijalari qayd </w:t>
      </w:r>
      <w:r>
        <w:rPr>
          <w:rFonts w:ascii="Times New Roman" w:hAnsi="Times New Roman" w:cs="Times New Roman"/>
          <w:sz w:val="28"/>
          <w:szCs w:val="28"/>
          <w:lang w:val="uz-Cyrl-UZ"/>
        </w:rPr>
        <w:t>e</w:t>
      </w:r>
      <w:r>
        <w:rPr>
          <w:rFonts w:ascii="Times New Roman" w:hAnsi="Times New Roman" w:cs="Times New Roman"/>
          <w:sz w:val="28"/>
          <w:szCs w:val="28"/>
          <w:lang w:val="en-US"/>
        </w:rPr>
        <w:t>tilgan. Har bir qaltislikning jami qaltislikdagi vazni yoki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boshqacha aytganda ahamiyati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kspertlar tomonidan </w:t>
      </w:r>
      <w:r>
        <w:rPr>
          <w:rFonts w:ascii="Times New Roman" w:hAnsi="Times New Roman" w:cs="Times New Roman"/>
          <w:sz w:val="28"/>
          <w:szCs w:val="28"/>
          <w:lang w:val="uz-Cyrl-UZ"/>
        </w:rPr>
        <w:t>e</w:t>
      </w:r>
      <w:r>
        <w:rPr>
          <w:rFonts w:ascii="Times New Roman" w:hAnsi="Times New Roman" w:cs="Times New Roman"/>
          <w:sz w:val="28"/>
          <w:szCs w:val="28"/>
          <w:lang w:val="en-US"/>
        </w:rPr>
        <w:t>mas, balki loyihani vujudga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keltiruvchilar tomonidan belgilangan. Bizning misolimizda qaltislikni tug’diruvchi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sabablar ahamiyatiga ko’ra, uchga bo’lingan. Bir bosqichga kiruvchi hamda turli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ustuvorliklarga tegishli qaltislikning jami qaltislikni hisobga olinadigan vazni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turlicha bo’ladi. Bir bosqichga kiruvchi 1- va 3-ahamiyatlilik orasidagi nisbat 10 ga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teng deb olsak va uchinchi ahamiyatlilikni x bilan belgilasak, birinchi ahamiyatlilik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10x ga, ikkinchi ahamiyatlilik </w:t>
      </w:r>
      <w:r>
        <w:rPr>
          <w:rFonts w:ascii="Times New Roman" w:hAnsi="Times New Roman" w:cs="Times New Roman"/>
          <w:sz w:val="28"/>
          <w:szCs w:val="28"/>
          <w:lang w:val="uz-Cyrl-UZ"/>
        </w:rPr>
        <w:t>e</w:t>
      </w:r>
      <w:r>
        <w:rPr>
          <w:rFonts w:ascii="Times New Roman" w:hAnsi="Times New Roman" w:cs="Times New Roman"/>
          <w:sz w:val="28"/>
          <w:szCs w:val="28"/>
          <w:lang w:val="en-US"/>
        </w:rPr>
        <w:t>sa 5,5*xq (10Q1)*x G’ 2 ga teng bo’ladi.</w:t>
      </w:r>
    </w:p>
    <w:p w14:paraId="157B4F4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Sh</w:t>
      </w:r>
      <w:r>
        <w:rPr>
          <w:rFonts w:ascii="Times New Roman" w:hAnsi="Times New Roman" w:cs="Times New Roman"/>
          <w:sz w:val="28"/>
          <w:szCs w:val="28"/>
          <w:lang w:val="en-US"/>
        </w:rPr>
        <w:t>u asosda yuqoridagi jadvalni qo’shimcha materiallar yordamida quyidagi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shaklga keltiramiz:</w:t>
      </w:r>
    </w:p>
    <w:p w14:paraId="29321A4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Jadval tahlili shuni ko’rsatadiki loyihani tayyorlov davrida vujudga keladigan</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xavf 2.7%ni tashkil </w:t>
      </w:r>
      <w:r>
        <w:rPr>
          <w:rFonts w:ascii="Times New Roman" w:hAnsi="Times New Roman" w:cs="Times New Roman"/>
          <w:sz w:val="28"/>
          <w:szCs w:val="28"/>
          <w:lang w:val="uz-Cyrl-UZ"/>
        </w:rPr>
        <w:t>e</w:t>
      </w:r>
      <w:r>
        <w:rPr>
          <w:rFonts w:ascii="Times New Roman" w:hAnsi="Times New Roman" w:cs="Times New Roman"/>
          <w:sz w:val="28"/>
          <w:szCs w:val="28"/>
          <w:lang w:val="en-US"/>
        </w:rPr>
        <w:t xml:space="preserve">tadi. Ijtimoiy xavf darajasi 14 foiz </w:t>
      </w:r>
      <w:r>
        <w:rPr>
          <w:rFonts w:ascii="Times New Roman" w:hAnsi="Times New Roman" w:cs="Times New Roman"/>
          <w:sz w:val="28"/>
          <w:szCs w:val="28"/>
          <w:lang w:val="uz-Cyrl-UZ"/>
        </w:rPr>
        <w:t>e</w:t>
      </w:r>
      <w:r>
        <w:rPr>
          <w:rFonts w:ascii="Times New Roman" w:hAnsi="Times New Roman" w:cs="Times New Roman"/>
          <w:sz w:val="28"/>
          <w:szCs w:val="28"/>
          <w:lang w:val="en-US"/>
        </w:rPr>
        <w:t>kan.</w:t>
      </w:r>
    </w:p>
    <w:p w14:paraId="54E4580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Qaltisni kompleks baholashdan oldin </w:t>
      </w:r>
      <w:r>
        <w:rPr>
          <w:rFonts w:ascii="Times New Roman" w:hAnsi="Times New Roman" w:cs="Times New Roman"/>
          <w:sz w:val="28"/>
          <w:szCs w:val="28"/>
          <w:lang w:val="uz-Cyrl-UZ"/>
        </w:rPr>
        <w:t>e</w:t>
      </w:r>
      <w:r>
        <w:rPr>
          <w:rFonts w:ascii="Times New Roman" w:hAnsi="Times New Roman" w:cs="Times New Roman"/>
          <w:sz w:val="28"/>
          <w:szCs w:val="28"/>
          <w:lang w:val="en-US"/>
        </w:rPr>
        <w:t>kspluatatsiya bosqichidagi xavflarni</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birlashtirib olamiz.</w:t>
      </w:r>
    </w:p>
    <w:p w14:paraId="206BA1E8">
      <w:pPr>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z-Cyrl-UZ"/>
        </w:rPr>
        <w:t>E</w:t>
      </w:r>
      <w:r>
        <w:rPr>
          <w:rFonts w:ascii="Times New Roman" w:hAnsi="Times New Roman" w:cs="Times New Roman"/>
          <w:sz w:val="28"/>
          <w:szCs w:val="28"/>
        </w:rPr>
        <w:t>kspluatatsiya bosqichi qaltis</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785"/>
        <w:gridCol w:w="4786"/>
      </w:tblGrid>
      <w:tr w14:paraId="119F37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5A90308A">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qaltis turi</w:t>
            </w:r>
          </w:p>
        </w:tc>
        <w:tc>
          <w:tcPr>
            <w:tcW w:w="4786" w:type="dxa"/>
            <w:vAlign w:val="center"/>
          </w:tcPr>
          <w:p w14:paraId="0805B13E">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qaltis</w:t>
            </w:r>
          </w:p>
        </w:tc>
      </w:tr>
      <w:tr w14:paraId="46F785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50DE862A">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Moliyaviy</w:t>
            </w:r>
            <w:r>
              <w:rPr>
                <w:rFonts w:ascii="Times New Roman" w:hAnsi="Times New Roman" w:cs="Times New Roman"/>
                <w:sz w:val="24"/>
                <w:szCs w:val="24"/>
                <w:lang w:val="uz-Cyrl-UZ"/>
              </w:rPr>
              <w:t>-</w:t>
            </w:r>
            <w:r>
              <w:rPr>
                <w:rFonts w:ascii="Times New Roman" w:hAnsi="Times New Roman" w:cs="Times New Roman"/>
                <w:sz w:val="24"/>
                <w:szCs w:val="24"/>
              </w:rPr>
              <w:t>iqtisodiy</w:t>
            </w:r>
          </w:p>
        </w:tc>
        <w:tc>
          <w:tcPr>
            <w:tcW w:w="4786" w:type="dxa"/>
            <w:vAlign w:val="center"/>
          </w:tcPr>
          <w:p w14:paraId="22236EA6">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13,6</w:t>
            </w:r>
          </w:p>
        </w:tc>
      </w:tr>
      <w:tr w14:paraId="407284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200573C5">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Sotsial</w:t>
            </w:r>
          </w:p>
        </w:tc>
        <w:tc>
          <w:tcPr>
            <w:tcW w:w="4786" w:type="dxa"/>
            <w:vAlign w:val="center"/>
          </w:tcPr>
          <w:p w14:paraId="3293F771">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13,4</w:t>
            </w:r>
          </w:p>
        </w:tc>
      </w:tr>
      <w:tr w14:paraId="0D1042D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4CDA9567">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Texnik</w:t>
            </w:r>
          </w:p>
        </w:tc>
        <w:tc>
          <w:tcPr>
            <w:tcW w:w="4786" w:type="dxa"/>
            <w:vAlign w:val="center"/>
          </w:tcPr>
          <w:p w14:paraId="09169198">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4,4</w:t>
            </w:r>
          </w:p>
        </w:tc>
      </w:tr>
      <w:tr w14:paraId="09E410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7B3358CC">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Ekologik</w:t>
            </w:r>
          </w:p>
        </w:tc>
        <w:tc>
          <w:tcPr>
            <w:tcW w:w="4786" w:type="dxa"/>
            <w:vAlign w:val="center"/>
          </w:tcPr>
          <w:p w14:paraId="417DFF36">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0,7</w:t>
            </w:r>
          </w:p>
        </w:tc>
      </w:tr>
      <w:tr w14:paraId="5057F3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78692B1B">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JAMI</w:t>
            </w:r>
          </w:p>
        </w:tc>
        <w:tc>
          <w:tcPr>
            <w:tcW w:w="4786" w:type="dxa"/>
            <w:vAlign w:val="center"/>
          </w:tcPr>
          <w:p w14:paraId="62DC10E3">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32,2</w:t>
            </w:r>
          </w:p>
        </w:tc>
      </w:tr>
    </w:tbl>
    <w:p w14:paraId="41EBB75F">
      <w:pPr>
        <w:autoSpaceDE w:val="0"/>
        <w:autoSpaceDN w:val="0"/>
        <w:adjustRightInd w:val="0"/>
        <w:spacing w:after="0" w:line="240" w:lineRule="auto"/>
        <w:jc w:val="both"/>
        <w:rPr>
          <w:rFonts w:ascii="Times New Roman" w:hAnsi="Times New Roman" w:cs="Times New Roman"/>
          <w:sz w:val="28"/>
          <w:szCs w:val="28"/>
          <w:lang w:val="uz-Cyrl-UZ"/>
        </w:rPr>
      </w:pPr>
    </w:p>
    <w:p w14:paraId="1A2F2310">
      <w:pPr>
        <w:autoSpaceDE w:val="0"/>
        <w:autoSpaceDN w:val="0"/>
        <w:adjustRightInd w:val="0"/>
        <w:spacing w:after="0" w:line="240" w:lineRule="auto"/>
        <w:jc w:val="center"/>
        <w:rPr>
          <w:rFonts w:ascii="Times New Roman" w:hAnsi="Times New Roman" w:cs="Times New Roman"/>
          <w:sz w:val="28"/>
          <w:szCs w:val="28"/>
          <w:lang w:val="uz-Cyrl-UZ"/>
        </w:rPr>
      </w:pPr>
      <w:r>
        <w:rPr>
          <w:rFonts w:ascii="Times New Roman" w:hAnsi="Times New Roman" w:cs="Times New Roman"/>
          <w:sz w:val="28"/>
          <w:szCs w:val="28"/>
          <w:lang w:val="uz-Cyrl-UZ"/>
        </w:rPr>
        <w:t>Endi barcha bosqichlar bo’yicha qaltisni bir jadvalga to’playmiz.</w:t>
      </w:r>
    </w:p>
    <w:p w14:paraId="1DB5DB70">
      <w:pPr>
        <w:autoSpaceDE w:val="0"/>
        <w:autoSpaceDN w:val="0"/>
        <w:adjustRightInd w:val="0"/>
        <w:spacing w:after="0" w:line="240" w:lineRule="auto"/>
        <w:jc w:val="both"/>
        <w:rPr>
          <w:rFonts w:ascii="Times New Roman" w:hAnsi="Times New Roman" w:cs="Times New Roman"/>
          <w:sz w:val="28"/>
          <w:szCs w:val="28"/>
          <w:lang w:val="uz-Cyrl-UZ"/>
        </w:rPr>
      </w:pP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4785"/>
        <w:gridCol w:w="4786"/>
      </w:tblGrid>
      <w:tr w14:paraId="2FB079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571" w:type="dxa"/>
            <w:gridSpan w:val="2"/>
            <w:vAlign w:val="center"/>
          </w:tcPr>
          <w:p w14:paraId="0297BC04">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Bosqichlar bo’yicha qaltislar darajasi</w:t>
            </w:r>
          </w:p>
        </w:tc>
      </w:tr>
      <w:tr w14:paraId="37094E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713D8BAD">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Bosqishlab chiqarish</w:t>
            </w:r>
          </w:p>
        </w:tc>
        <w:tc>
          <w:tcPr>
            <w:tcW w:w="4786" w:type="dxa"/>
            <w:vAlign w:val="center"/>
          </w:tcPr>
          <w:p w14:paraId="3AAAB1F6">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rPr>
              <w:t>Xavf</w:t>
            </w:r>
          </w:p>
        </w:tc>
      </w:tr>
      <w:tr w14:paraId="1987C7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4E9969C7">
            <w:pPr>
              <w:autoSpaceDE w:val="0"/>
              <w:autoSpaceDN w:val="0"/>
              <w:adjustRightInd w:val="0"/>
              <w:spacing w:after="0" w:line="240" w:lineRule="auto"/>
              <w:rPr>
                <w:rFonts w:ascii="Times New Roman" w:hAnsi="Times New Roman" w:cs="Times New Roman"/>
                <w:sz w:val="24"/>
                <w:szCs w:val="24"/>
                <w:lang w:val="uz-Cyrl-UZ"/>
              </w:rPr>
            </w:pPr>
            <w:r>
              <w:rPr>
                <w:rFonts w:ascii="Times New Roman" w:hAnsi="Times New Roman" w:cs="Times New Roman"/>
                <w:sz w:val="24"/>
                <w:szCs w:val="24"/>
                <w:lang w:val="uz-Cyrl-UZ"/>
              </w:rPr>
              <w:t>Loyihaning tayyorlov bosqichiga</w:t>
            </w:r>
          </w:p>
          <w:p w14:paraId="5066AF07">
            <w:pPr>
              <w:autoSpaceDE w:val="0"/>
              <w:autoSpaceDN w:val="0"/>
              <w:adjustRightInd w:val="0"/>
              <w:spacing w:after="0" w:line="240" w:lineRule="auto"/>
              <w:rPr>
                <w:rFonts w:ascii="Times New Roman" w:hAnsi="Times New Roman" w:cs="Times New Roman"/>
                <w:sz w:val="24"/>
                <w:szCs w:val="24"/>
                <w:lang w:val="uz-Cyrl-UZ"/>
              </w:rPr>
            </w:pPr>
            <w:r>
              <w:rPr>
                <w:rFonts w:ascii="Times New Roman" w:hAnsi="Times New Roman" w:cs="Times New Roman"/>
                <w:sz w:val="24"/>
                <w:szCs w:val="24"/>
                <w:lang w:val="uz-Cyrl-UZ"/>
              </w:rPr>
              <w:t>xos xavflar</w:t>
            </w:r>
          </w:p>
        </w:tc>
        <w:tc>
          <w:tcPr>
            <w:tcW w:w="4786" w:type="dxa"/>
            <w:vAlign w:val="center"/>
          </w:tcPr>
          <w:p w14:paraId="5780AFB0">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2,7</w:t>
            </w:r>
          </w:p>
        </w:tc>
      </w:tr>
      <w:tr w14:paraId="2E7FB8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633DFEF0">
            <w:pPr>
              <w:autoSpaceDE w:val="0"/>
              <w:autoSpaceDN w:val="0"/>
              <w:adjustRightInd w:val="0"/>
              <w:spacing w:after="0" w:line="240" w:lineRule="auto"/>
              <w:rPr>
                <w:rFonts w:ascii="Times New Roman" w:hAnsi="Times New Roman" w:cs="Times New Roman"/>
                <w:sz w:val="24"/>
                <w:szCs w:val="24"/>
                <w:lang w:val="uz-Cyrl-UZ"/>
              </w:rPr>
            </w:pPr>
            <w:r>
              <w:rPr>
                <w:rFonts w:ascii="Times New Roman" w:hAnsi="Times New Roman" w:cs="Times New Roman"/>
                <w:sz w:val="24"/>
                <w:szCs w:val="24"/>
              </w:rPr>
              <w:t>Qurilish bosqichidagi xavflar</w:t>
            </w:r>
          </w:p>
        </w:tc>
        <w:tc>
          <w:tcPr>
            <w:tcW w:w="4786" w:type="dxa"/>
            <w:vAlign w:val="center"/>
          </w:tcPr>
          <w:p w14:paraId="7E3B36AF">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12,5</w:t>
            </w:r>
          </w:p>
        </w:tc>
      </w:tr>
      <w:tr w14:paraId="5005E2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0A7A1BF2">
            <w:pPr>
              <w:autoSpaceDE w:val="0"/>
              <w:autoSpaceDN w:val="0"/>
              <w:adjustRightInd w:val="0"/>
              <w:spacing w:after="0" w:line="240" w:lineRule="auto"/>
              <w:rPr>
                <w:rFonts w:ascii="Times New Roman" w:hAnsi="Times New Roman" w:cs="Times New Roman"/>
                <w:sz w:val="24"/>
                <w:szCs w:val="24"/>
                <w:lang w:val="uz-Cyrl-UZ"/>
              </w:rPr>
            </w:pPr>
            <w:r>
              <w:rPr>
                <w:rFonts w:ascii="Times New Roman" w:hAnsi="Times New Roman" w:cs="Times New Roman"/>
                <w:sz w:val="24"/>
                <w:szCs w:val="24"/>
              </w:rPr>
              <w:t>Ekspluatatsiya bosqichidagi xavflar</w:t>
            </w:r>
          </w:p>
        </w:tc>
        <w:tc>
          <w:tcPr>
            <w:tcW w:w="4786" w:type="dxa"/>
            <w:vAlign w:val="center"/>
          </w:tcPr>
          <w:p w14:paraId="6AD24F66">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32,2</w:t>
            </w:r>
          </w:p>
        </w:tc>
      </w:tr>
      <w:tr w14:paraId="5B4A21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4785" w:type="dxa"/>
            <w:vAlign w:val="center"/>
          </w:tcPr>
          <w:p w14:paraId="3F5134D1">
            <w:pPr>
              <w:autoSpaceDE w:val="0"/>
              <w:autoSpaceDN w:val="0"/>
              <w:adjustRightInd w:val="0"/>
              <w:spacing w:after="0" w:line="240" w:lineRule="auto"/>
              <w:rPr>
                <w:rFonts w:ascii="Times New Roman" w:hAnsi="Times New Roman" w:cs="Times New Roman"/>
                <w:sz w:val="24"/>
                <w:szCs w:val="24"/>
                <w:lang w:val="uz-Cyrl-UZ"/>
              </w:rPr>
            </w:pPr>
            <w:r>
              <w:rPr>
                <w:rFonts w:ascii="Times New Roman" w:hAnsi="Times New Roman" w:cs="Times New Roman"/>
                <w:sz w:val="24"/>
                <w:szCs w:val="24"/>
              </w:rPr>
              <w:t>JAMI</w:t>
            </w:r>
          </w:p>
        </w:tc>
        <w:tc>
          <w:tcPr>
            <w:tcW w:w="4786" w:type="dxa"/>
            <w:vAlign w:val="center"/>
          </w:tcPr>
          <w:p w14:paraId="129DC0EC">
            <w:pPr>
              <w:autoSpaceDE w:val="0"/>
              <w:autoSpaceDN w:val="0"/>
              <w:adjustRightInd w:val="0"/>
              <w:spacing w:after="0" w:line="240" w:lineRule="auto"/>
              <w:jc w:val="center"/>
              <w:rPr>
                <w:rFonts w:ascii="Times New Roman" w:hAnsi="Times New Roman" w:cs="Times New Roman"/>
                <w:sz w:val="24"/>
                <w:szCs w:val="24"/>
                <w:lang w:val="uz-Cyrl-UZ"/>
              </w:rPr>
            </w:pPr>
            <w:r>
              <w:rPr>
                <w:rFonts w:ascii="Times New Roman" w:hAnsi="Times New Roman" w:cs="Times New Roman"/>
                <w:sz w:val="24"/>
                <w:szCs w:val="24"/>
                <w:lang w:val="uz-Cyrl-UZ"/>
              </w:rPr>
              <w:t>47,4</w:t>
            </w:r>
          </w:p>
        </w:tc>
      </w:tr>
    </w:tbl>
    <w:p w14:paraId="7057387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loyiha xavfi 47,4 foizni tashkil etdi. Shuning uchun qaltis qilishdan oldin chuqur o’ylab ko’rish kerak. Qaltislarining ahamiyatliligi orasidagi nisbat o’zgartirilsa ham natija taxminan shunday chiqadi.</w:t>
      </w:r>
    </w:p>
    <w:p w14:paraId="22CAA20D">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Nisbat                              100       10         5      3</w:t>
      </w:r>
    </w:p>
    <w:p w14:paraId="3614740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Xavf ehtimolligi            52,7    47,4    47    44,9</w:t>
      </w:r>
    </w:p>
    <w:p w14:paraId="0C9DAE4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Xavf asosan juda muhim bo’lgan omillardan tashkil topadi. Bizning misolimizda bular quyidagilar.</w:t>
      </w:r>
    </w:p>
    <w:p w14:paraId="5F534BF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O’z aylanma mablag’i etishmasliligi xavfi - 10,0%; ish tashlash xavfi 8,3%; ko’zda tutilmagan xarajatlar shu jumladan inflyatsiya 8,3%. Bu uchta omilga yarmidan ko’proq - 26,6% xavf to’g’ri keladi. Agar shu xavflarni bartaraf qila olsak unda loyihani investitsiyalash mumkin bo’ladi. Yuqorida qayd etilgan xavflardan tashqari belgilanishi qiyin bo’lgan yoki umuman aniqlab bo’lmaydigan xavflar ham mavjud. Bunga har xil tabiiy ofatlar, hukumat siyosatining o’zgarishi kabilar kiradi.</w:t>
      </w:r>
    </w:p>
    <w:p w14:paraId="34CA1026">
      <w:pPr>
        <w:autoSpaceDE w:val="0"/>
        <w:autoSpaceDN w:val="0"/>
        <w:adjustRightInd w:val="0"/>
        <w:spacing w:after="0" w:line="240" w:lineRule="auto"/>
        <w:jc w:val="both"/>
        <w:rPr>
          <w:rFonts w:ascii="Times New Roman" w:hAnsi="Times New Roman" w:eastAsia="LiberationSerif-Bold" w:cs="Times New Roman"/>
          <w:b/>
          <w:bCs/>
          <w:sz w:val="28"/>
          <w:szCs w:val="28"/>
          <w:lang w:val="en-US"/>
        </w:rPr>
      </w:pPr>
    </w:p>
    <w:p w14:paraId="07962276">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Qisqacha xulosalar</w:t>
      </w:r>
    </w:p>
    <w:p w14:paraId="26F61E12">
      <w:pPr>
        <w:autoSpaceDE w:val="0"/>
        <w:autoSpaceDN w:val="0"/>
        <w:adjustRightInd w:val="0"/>
        <w:spacing w:after="0" w:line="240" w:lineRule="auto"/>
        <w:ind w:firstLine="709"/>
        <w:jc w:val="both"/>
        <w:rPr>
          <w:rFonts w:ascii="Times New Roman" w:hAnsi="Times New Roman" w:cs="Times New Roman"/>
          <w:sz w:val="28"/>
          <w:szCs w:val="28"/>
          <w:lang w:val="en-US"/>
        </w:rPr>
      </w:pPr>
    </w:p>
    <w:p w14:paraId="54A3797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Loyihalarda tavakkal xavfi har doim bo’ladi. Yuqorida investitsiya bilan bog’liq qaltislikni ko’rib chiqdik. Albatta, qaltislikni hisobga olmasdan loyihalarni baholashimiz, solishtirishimiz mumkin. Ammo bu haqiqiy holatni ko’rsatmaydi. Agar shu loyihadan mavjud qaltisga qo’l urishimizga arziydigan manfaat olsakkina uni amalga oshiramiz. Yana bizni loyiha qaltisini boshqarish usullari qiziqtiradi va qaltisni boshqarishga xarajatlarni ham loyihalarni baholashda hisobga olish mumkin. Umuman, boshqarsa bo’ladigan (sug’urta va boshqalar orqali) qaltislar ma’lum xarajatlarni loyihaga qo’shish orqali hisobdan chiqarilishi mumkin. Bu loyihalar ma’lum darajada qaltislardan xoli qolda baholanishi va solishtirilishi mumkin. Shuning uchun loyiha samaradorligini baholashda ularning qaltisi hisobga olinadi va u asosan qanday qaltislardan iboratligi o’rganiladi. Ularni bartaraf qilish imkoniyati mavjudligi o’sha loyihaning yutug’i hisoblanadi.</w:t>
      </w:r>
    </w:p>
    <w:p w14:paraId="532D93E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Investitsiyalarda qaltis xavfi deganda turli omillar ta’sirida investitsiya daromadlarining ko’zda tutilgan miqdordan kamayish xavfi tushuniladi.</w:t>
      </w:r>
    </w:p>
    <w:p w14:paraId="4B67B29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Investitsiya jarayonlari bilan bog’liq qaltis xavfining asosiy turlari bo’lib:</w:t>
      </w:r>
    </w:p>
    <w:p w14:paraId="524C3F4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a) ish bilan bog’liq qaltis xavfi;</w:t>
      </w:r>
    </w:p>
    <w:p w14:paraId="744ABB7A">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 moliyaviy bozor tasodifi xavflari;</w:t>
      </w:r>
    </w:p>
    <w:p w14:paraId="68D2787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v) aholining xarid qobiliyati bilan bog’liq bo’lgan moliyaviy xavf;</w:t>
      </w:r>
    </w:p>
    <w:p w14:paraId="4A76AC9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g) foiz xavfi va boshqalar hisoblanadi.</w:t>
      </w:r>
    </w:p>
    <w:p w14:paraId="72DC238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Bu xavflarning barchasi oxir-oqibat sof keltirilgan qiymat, investitsiyalar rentabelligi kabi ko’rsatkichlarni pasayishiga olib keladi.</w:t>
      </w:r>
    </w:p>
    <w:p w14:paraId="4A0E4135">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O’z ta’sir kuchiga ko’ra qaltis xavflari oddiy va murakkab xavflarga bo’linadi. Murakkab xavflar deganda bir-biriga bog’liq bo’lgan xavflar tushuniladi. Qaltis xavfni aniqlashda ekspert baholash uslubidan keng foydalaniladi. Ekspertlar baholari qayta ishlanib, har bir xavf turi bo’yicha va umumiy xavf ko’rsatkichi hisoblab topiladi. Odatda tayyorlov bosqichi, qurilish bosqichi, va ob’ektning ishga tushurilgandan keyingi bosqichdagi xavflar bosqichma-bosqich xavf turlariga qarab baholanadilar. Bularga iqtisodiy va moliyaviy xavflar, sotsial xavflar, texnikaviy xavflar, ekologik xavflar kiradi. Har bir xavfning ahamiyatlilik darajasini ko’rsatuvchi koeffitsient va ekspertlar baholari loyihadagi umumiy qaltis xavfi darajasini hisoblab topish, hamda uni amalga oshirish yoki oshirmaslik to’g’risida xulosa chiqarish imkonini beradi.</w:t>
      </w:r>
    </w:p>
    <w:p w14:paraId="1BBB7E9E">
      <w:pPr>
        <w:autoSpaceDE w:val="0"/>
        <w:autoSpaceDN w:val="0"/>
        <w:adjustRightInd w:val="0"/>
        <w:spacing w:after="0" w:line="240" w:lineRule="auto"/>
        <w:jc w:val="both"/>
        <w:rPr>
          <w:rFonts w:ascii="Times New Roman" w:hAnsi="Times New Roman" w:eastAsia="LiberationSerif-Bold" w:cs="Times New Roman"/>
          <w:b/>
          <w:bCs/>
          <w:sz w:val="28"/>
          <w:szCs w:val="28"/>
          <w:lang w:val="en-US"/>
        </w:rPr>
      </w:pPr>
    </w:p>
    <w:p w14:paraId="73F67CF4">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Nazorat va muhokama uchun savollar</w:t>
      </w:r>
    </w:p>
    <w:p w14:paraId="0438B14E">
      <w:pPr>
        <w:autoSpaceDE w:val="0"/>
        <w:autoSpaceDN w:val="0"/>
        <w:adjustRightInd w:val="0"/>
        <w:spacing w:after="0" w:line="240" w:lineRule="auto"/>
        <w:ind w:firstLine="709"/>
        <w:jc w:val="both"/>
        <w:rPr>
          <w:rFonts w:ascii="Times New Roman" w:hAnsi="Times New Roman" w:cs="Times New Roman"/>
          <w:sz w:val="28"/>
          <w:szCs w:val="28"/>
          <w:lang w:val="en-US"/>
        </w:rPr>
      </w:pPr>
    </w:p>
    <w:p w14:paraId="6650932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Loyihalari bilan bog’liq qaltis xavfi deganda nimani tushunasiz?</w:t>
      </w:r>
    </w:p>
    <w:p w14:paraId="7D482487">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 Qaltis xavfi turlarini izohlab bering.</w:t>
      </w:r>
    </w:p>
    <w:p w14:paraId="654C468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Oddiy va murakkab xavflarni tushuntirib bering.</w:t>
      </w:r>
    </w:p>
    <w:p w14:paraId="2F27594F">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 Qaltis xavfini bosqichma-bosqich baholashni tartibi qanday?</w:t>
      </w:r>
    </w:p>
    <w:p w14:paraId="7A48D36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5. Investitsiya jarayoni bilan bog’liq qaltis xavfini turlarini tushuntirib bering?</w:t>
      </w:r>
    </w:p>
    <w:p w14:paraId="3A8E1C6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6. Sotsial xavf va texnikaviy xavflarning mohiyati nimada?</w:t>
      </w:r>
    </w:p>
    <w:p w14:paraId="49ED80D3">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7. Ijtimoiy, ekologik, innovatsion loyihalarning xavlari nimalardan iborat?</w:t>
      </w:r>
    </w:p>
    <w:p w14:paraId="1CEE237E">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8. Jahon moliyaviy-iqtisodiy inqirozi sharoitida loyihalarga qanday qaltislik va xavf paydo bo’ldi?</w:t>
      </w:r>
    </w:p>
    <w:p w14:paraId="1F0D9816">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9. Loyihalarda makroiqtisodiy qaltisliklar deganda nimalarni tushunasiz?</w:t>
      </w:r>
    </w:p>
    <w:p w14:paraId="4F6080F6">
      <w:pPr>
        <w:autoSpaceDE w:val="0"/>
        <w:autoSpaceDN w:val="0"/>
        <w:adjustRightInd w:val="0"/>
        <w:spacing w:after="0" w:line="240" w:lineRule="auto"/>
        <w:jc w:val="both"/>
        <w:rPr>
          <w:rFonts w:ascii="Times New Roman" w:hAnsi="Times New Roman" w:eastAsia="LiberationSerif-Bold" w:cs="Times New Roman"/>
          <w:b/>
          <w:bCs/>
          <w:sz w:val="28"/>
          <w:szCs w:val="28"/>
          <w:lang w:val="en-US"/>
        </w:rPr>
      </w:pPr>
    </w:p>
    <w:p w14:paraId="1506ACF8">
      <w:pPr>
        <w:autoSpaceDE w:val="0"/>
        <w:autoSpaceDN w:val="0"/>
        <w:adjustRightInd w:val="0"/>
        <w:spacing w:after="0" w:line="240" w:lineRule="auto"/>
        <w:jc w:val="center"/>
        <w:rPr>
          <w:rFonts w:ascii="Times New Roman" w:hAnsi="Times New Roman" w:eastAsia="LiberationSerif-Bold" w:cs="Times New Roman"/>
          <w:b/>
          <w:bCs/>
          <w:sz w:val="28"/>
          <w:szCs w:val="28"/>
          <w:lang w:val="en-US"/>
        </w:rPr>
      </w:pPr>
      <w:r>
        <w:rPr>
          <w:rFonts w:ascii="Times New Roman" w:hAnsi="Times New Roman" w:eastAsia="LiberationSerif-Bold" w:cs="Times New Roman"/>
          <w:b/>
          <w:bCs/>
          <w:sz w:val="28"/>
          <w:szCs w:val="28"/>
          <w:lang w:val="en-US"/>
        </w:rPr>
        <w:t>Foydalanilgan adabiyotlar ro’yxati</w:t>
      </w:r>
    </w:p>
    <w:p w14:paraId="509BDCB6">
      <w:pPr>
        <w:autoSpaceDE w:val="0"/>
        <w:autoSpaceDN w:val="0"/>
        <w:adjustRightInd w:val="0"/>
        <w:spacing w:after="0" w:line="240" w:lineRule="auto"/>
        <w:ind w:firstLine="709"/>
        <w:jc w:val="both"/>
        <w:rPr>
          <w:rFonts w:ascii="Times New Roman" w:hAnsi="Times New Roman" w:cs="Times New Roman"/>
          <w:sz w:val="28"/>
          <w:szCs w:val="28"/>
          <w:lang w:val="en-US"/>
        </w:rPr>
      </w:pPr>
    </w:p>
    <w:p w14:paraId="5586BBA2">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1. A.E.Ishmuxamedov, M.S.Qosimov, Z.A.Djumaev, G.Ya.Muxamedjanova.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Loyiha tahlili. T: TDIU. 20</w:t>
      </w:r>
      <w:r>
        <w:rPr>
          <w:rFonts w:ascii="Times New Roman" w:hAnsi="Times New Roman" w:cs="Times New Roman"/>
          <w:sz w:val="28"/>
          <w:szCs w:val="28"/>
          <w:lang w:val="uz-Cyrl-UZ"/>
        </w:rPr>
        <w:t>17</w:t>
      </w:r>
      <w:r>
        <w:rPr>
          <w:rFonts w:ascii="Times New Roman" w:hAnsi="Times New Roman" w:cs="Times New Roman"/>
          <w:sz w:val="28"/>
          <w:szCs w:val="28"/>
          <w:lang w:val="en-US"/>
        </w:rPr>
        <w:t>.-205 - 234 b.</w:t>
      </w:r>
    </w:p>
    <w:p w14:paraId="2A9C5C6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2.</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Margolin A.M. Ekonomicheskaya otsenka investitsionno’x proektov. Uchebnik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dlya vuzov. A.M. Margolin, M.ZAO Izdatelstvo ekonomika, 20</w:t>
      </w:r>
      <w:r>
        <w:rPr>
          <w:rFonts w:ascii="Times New Roman" w:hAnsi="Times New Roman" w:cs="Times New Roman"/>
          <w:sz w:val="28"/>
          <w:szCs w:val="28"/>
          <w:lang w:val="uz-Cyrl-UZ"/>
        </w:rPr>
        <w:t>18</w:t>
      </w:r>
      <w:r>
        <w:rPr>
          <w:rFonts w:ascii="Times New Roman" w:hAnsi="Times New Roman" w:cs="Times New Roman"/>
          <w:sz w:val="28"/>
          <w:szCs w:val="28"/>
          <w:lang w:val="en-US"/>
        </w:rPr>
        <w:t>.-320-367str.</w:t>
      </w:r>
    </w:p>
    <w:p w14:paraId="477C8350">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 Baldin K.V. Investitsii i innovatsii. Uchebnoe posobie. g’ K.V. Baldin, I.I.Perederyaev i dr.-2- izd- M: Izdatelskoe –torgovaya korporatsiya «Dashkov i K»,</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201</w:t>
      </w:r>
      <w:r>
        <w:rPr>
          <w:rFonts w:ascii="Times New Roman" w:hAnsi="Times New Roman" w:cs="Times New Roman"/>
          <w:sz w:val="28"/>
          <w:szCs w:val="28"/>
          <w:lang w:val="uz-Cyrl-UZ"/>
        </w:rPr>
        <w:t>8</w:t>
      </w:r>
      <w:r>
        <w:rPr>
          <w:rFonts w:ascii="Times New Roman" w:hAnsi="Times New Roman" w:cs="Times New Roman"/>
          <w:sz w:val="28"/>
          <w:szCs w:val="28"/>
          <w:lang w:val="en-US"/>
        </w:rPr>
        <w:t>. -213-238 s.</w:t>
      </w:r>
    </w:p>
    <w:p w14:paraId="39590DC9">
      <w:pPr>
        <w:autoSpaceDE w:val="0"/>
        <w:autoSpaceDN w:val="0"/>
        <w:adjustRightInd w:val="0"/>
        <w:spacing w:after="0"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4.</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Nikolaev M.A. Investitsionnaya deyatelnost: Uchebnoe posobie g’ M.A.Nikolaev</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-Finanso’ i statistika, INFRA. M-20</w:t>
      </w:r>
      <w:r>
        <w:rPr>
          <w:rFonts w:ascii="Times New Roman" w:hAnsi="Times New Roman" w:cs="Times New Roman"/>
          <w:sz w:val="28"/>
          <w:szCs w:val="28"/>
          <w:lang w:val="uz-Cyrl-UZ"/>
        </w:rPr>
        <w:t>18</w:t>
      </w:r>
      <w:r>
        <w:rPr>
          <w:rFonts w:ascii="Times New Roman" w:hAnsi="Times New Roman" w:cs="Times New Roman"/>
          <w:sz w:val="28"/>
          <w:szCs w:val="28"/>
          <w:lang w:val="en-US"/>
        </w:rPr>
        <w:t>.-256-336 str.</w:t>
      </w:r>
    </w:p>
    <w:p w14:paraId="2A167CAC">
      <w:pPr>
        <w:autoSpaceDE w:val="0"/>
        <w:autoSpaceDN w:val="0"/>
        <w:adjustRightInd w:val="0"/>
        <w:spacing w:after="0" w:line="240"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en-US"/>
        </w:rPr>
        <w:t>5.</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Tyurina A.V. Investitsii. Praktikum. Uchebnoe posobie. g’ A.V. Tyurina</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 xml:space="preserve">KNORUS.2010.- </w:t>
      </w:r>
      <w:r>
        <w:rPr>
          <w:rFonts w:ascii="Times New Roman" w:hAnsi="Times New Roman" w:cs="Times New Roman"/>
          <w:sz w:val="28"/>
          <w:szCs w:val="28"/>
        </w:rPr>
        <w:t>189-208</w:t>
      </w: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LiberationSerif-Bold">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Math">
    <w:panose1 w:val="02040503050406030204"/>
    <w:charset w:val="01"/>
    <w:family w:val="auto"/>
    <w:pitch w:val="variable"/>
    <w:sig w:usb0="E00006FF" w:usb1="420024FF" w:usb2="02000000" w:usb3="00000000" w:csb0="2000019F" w:csb1="00000000"/>
  </w:font>
  <w:font w:name="@SimSun">
    <w:panose1 w:val="02010600030101010101"/>
    <w:charset w:val="86"/>
    <w:family w:val="auto"/>
    <w:pitch w:val="variable"/>
    <w:sig w:usb0="000000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60C4F">
    <w:pPr>
      <w:pStyle w:val="4"/>
      <w:widowControl/>
    </w:pPr>
    <w:r>
      <w:rPr>
        <w:lang w:val="en-US"/>
      </w:rPr>
      <w:t>G.K.Turayeva-Investitsion loyihalar tahlili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doNotUseIndentAsNumberingTabStop/>
    <w:compatSetting w:name="compatibilityMode" w:uri="http://schemas.microsoft.com/office/word" w:val="12"/>
  </w:compat>
  <w:rsids>
    <w:rsidRoot w:val="008B0EC5"/>
    <w:rsid w:val="002B02B3"/>
    <w:rsid w:val="00307686"/>
    <w:rsid w:val="005473B4"/>
    <w:rsid w:val="008B0EC5"/>
    <w:rsid w:val="00AB4691"/>
    <w:rsid w:val="00B2173C"/>
    <w:rsid w:val="12802B6B"/>
    <w:rsid w:val="37284E0F"/>
    <w:rsid w:val="52F458A7"/>
    <w:rsid w:val="5F9300C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4">
    <w:name w:val="header"/>
    <w:link w:val="8"/>
    <w:semiHidden/>
    <w:unhideWhenUsed/>
    <w:uiPriority w:val="99"/>
    <w:pPr>
      <w:keepNext w:val="0"/>
      <w:keepLines w:val="0"/>
      <w:widowControl/>
      <w:suppressLineNumbers w:val="0"/>
      <w:spacing w:before="0" w:beforeAutospacing="1" w:after="0" w:afterAutospacing="1" w:line="271" w:lineRule="auto"/>
      <w:ind w:left="0" w:right="0"/>
      <w:jc w:val="left"/>
    </w:pPr>
    <w:rPr>
      <w:rFonts w:ascii="Calibri" w:hAnsi="Calibri" w:eastAsia="SimSun" w:cs="Times New Roman"/>
      <w:kern w:val="0"/>
      <w:sz w:val="24"/>
      <w:szCs w:val="24"/>
      <w:lang w:val="en-US" w:eastAsia="zh-CN" w:bidi="ar"/>
    </w:rPr>
  </w:style>
  <w:style w:type="paragraph" w:styleId="5">
    <w:name w:val="footer"/>
    <w:basedOn w:val="1"/>
    <w:semiHidden/>
    <w:unhideWhenUsed/>
    <w:uiPriority w:val="99"/>
    <w:pPr>
      <w:tabs>
        <w:tab w:val="center" w:pos="4153"/>
        <w:tab w:val="right" w:pos="8306"/>
      </w:tabs>
    </w:pPr>
  </w:style>
  <w:style w:type="table" w:styleId="6">
    <w:name w:val="Table Grid"/>
    <w:basedOn w:val="3"/>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7">
    <w:name w:val="List Paragraph"/>
    <w:basedOn w:val="1"/>
    <w:qFormat/>
    <w:uiPriority w:val="34"/>
    <w:pPr>
      <w:ind w:left="720"/>
      <w:contextualSpacing/>
    </w:pPr>
  </w:style>
  <w:style w:type="character" w:customStyle="1" w:styleId="8">
    <w:name w:val="Верхний колонтитул Знак"/>
    <w:link w:val="4"/>
    <w:uiPriority w:val="0"/>
    <w:rPr>
      <w:rFonts w:ascii="Calibri" w:hAnsi="Calibri" w:eastAsia="SimSun" w:cs="Calibr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Reanimator Extreme Edition</Company>
  <Pages>16</Pages>
  <Words>4861</Words>
  <Characters>27713</Characters>
  <Lines>230</Lines>
  <Paragraphs>65</Paragraphs>
  <TotalTime>0</TotalTime>
  <ScaleCrop>false</ScaleCrop>
  <LinksUpToDate>false</LinksUpToDate>
  <CharactersWithSpaces>32509</CharactersWithSpaces>
  <Application>WPS Office_12.2.0.17545_F1E327BC-269C-435d-A152-05C5408002CA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2020-04-11T14:28:00Z</dcterms:created>
  <dc:creator>Laliga</dc:creator>
  <cp:lastModifiedBy>User</cp:lastModifiedBy>
  <dcterms:modified xsi:type="dcterms:W3CDTF">2024-09-10T18:54:07Z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0E8607E52F7643B285D9840A53A92878_12</vt:lpwstr>
  </property>
</Properties>
</file>